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48BA" w14:textId="77777777" w:rsidR="002721F5" w:rsidRDefault="002721F5"/>
    <w:p w14:paraId="21DCBC06" w14:textId="126E729D" w:rsidR="003441D5" w:rsidRPr="003441D5" w:rsidRDefault="003441D5" w:rsidP="003441D5">
      <w:pPr>
        <w:jc w:val="center"/>
        <w:rPr>
          <w:b/>
          <w:color w:val="2E74B5" w:themeColor="accent1" w:themeShade="BF"/>
          <w:sz w:val="32"/>
          <w:szCs w:val="32"/>
          <w:u w:val="single"/>
        </w:rPr>
      </w:pPr>
      <w:r w:rsidRPr="003441D5">
        <w:rPr>
          <w:b/>
          <w:color w:val="2E74B5" w:themeColor="accent1" w:themeShade="BF"/>
          <w:sz w:val="32"/>
          <w:szCs w:val="32"/>
          <w:u w:val="single"/>
        </w:rPr>
        <w:t xml:space="preserve">ČESTNÉ PROHLÁŠENÍ </w:t>
      </w:r>
    </w:p>
    <w:p w14:paraId="2C25F35E" w14:textId="77777777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6C6191F6" w14:textId="6F5A0CE9" w:rsidR="0020207B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 xml:space="preserve">Žadatel </w:t>
      </w:r>
      <w:r w:rsidRPr="00A129B4">
        <w:rPr>
          <w:rFonts w:cstheme="minorHAnsi"/>
          <w:i/>
          <w:snapToGrid w:val="0"/>
          <w:sz w:val="24"/>
          <w:szCs w:val="24"/>
          <w:highlight w:val="yellow"/>
        </w:rPr>
        <w:t>(uvést název)</w:t>
      </w:r>
      <w:r w:rsidRPr="00A129B4">
        <w:rPr>
          <w:rFonts w:cstheme="minorHAnsi"/>
          <w:snapToGrid w:val="0"/>
          <w:sz w:val="24"/>
          <w:szCs w:val="24"/>
        </w:rPr>
        <w:t xml:space="preserve"> </w:t>
      </w:r>
      <w:r w:rsidR="0020207B" w:rsidRPr="00A129B4">
        <w:rPr>
          <w:rFonts w:cstheme="minorHAnsi"/>
          <w:snapToGrid w:val="0"/>
          <w:sz w:val="24"/>
          <w:szCs w:val="24"/>
        </w:rPr>
        <w:t xml:space="preserve">čestně </w:t>
      </w:r>
      <w:r w:rsidRPr="00A129B4">
        <w:rPr>
          <w:rFonts w:cstheme="minorHAnsi"/>
          <w:snapToGrid w:val="0"/>
          <w:sz w:val="24"/>
          <w:szCs w:val="24"/>
        </w:rPr>
        <w:t>prohlašuje, že</w:t>
      </w:r>
      <w:r w:rsidR="0020207B" w:rsidRPr="00A129B4">
        <w:rPr>
          <w:rFonts w:cstheme="minorHAnsi"/>
          <w:snapToGrid w:val="0"/>
          <w:sz w:val="24"/>
          <w:szCs w:val="24"/>
        </w:rPr>
        <w:t>:</w:t>
      </w:r>
    </w:p>
    <w:p w14:paraId="6CAE2BDF" w14:textId="77777777" w:rsidR="0065542E" w:rsidRPr="00A129B4" w:rsidRDefault="0065542E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4"/>
          <w:szCs w:val="24"/>
        </w:rPr>
      </w:pPr>
    </w:p>
    <w:p w14:paraId="0A96BE40" w14:textId="3C469140" w:rsidR="0020207B" w:rsidRPr="0065542E" w:rsidRDefault="0020207B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způsobilé výdaje finanční podpory nebudou svým charakterem nahrazovat opakující se výdaje státního rozpočtu České republiky.</w:t>
      </w:r>
    </w:p>
    <w:p w14:paraId="46F63809" w14:textId="10C79F02" w:rsidR="003441D5" w:rsidRDefault="003441D5" w:rsidP="00947D8A">
      <w:pPr>
        <w:widowControl w:val="0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 xml:space="preserve">na stejné způsobilé výdaje </w:t>
      </w:r>
      <w:r w:rsidR="0020207B" w:rsidRPr="00A129B4">
        <w:rPr>
          <w:rFonts w:cstheme="minorHAnsi"/>
          <w:snapToGrid w:val="0"/>
          <w:sz w:val="24"/>
          <w:szCs w:val="24"/>
        </w:rPr>
        <w:t xml:space="preserve">a </w:t>
      </w:r>
      <w:r w:rsidRPr="00A129B4">
        <w:rPr>
          <w:rFonts w:cstheme="minorHAnsi"/>
          <w:snapToGrid w:val="0"/>
          <w:sz w:val="24"/>
          <w:szCs w:val="24"/>
        </w:rPr>
        <w:t xml:space="preserve">Aktivity podpořené z Národního plánu obnovy nečerpá </w:t>
      </w:r>
      <w:r w:rsidR="00A129B4">
        <w:rPr>
          <w:rFonts w:cstheme="minorHAnsi"/>
          <w:snapToGrid w:val="0"/>
          <w:sz w:val="24"/>
          <w:szCs w:val="24"/>
        </w:rPr>
        <w:br/>
      </w:r>
      <w:r w:rsidR="0020207B" w:rsidRPr="00A129B4">
        <w:rPr>
          <w:rFonts w:cstheme="minorHAnsi"/>
          <w:snapToGrid w:val="0"/>
          <w:sz w:val="24"/>
          <w:szCs w:val="24"/>
        </w:rPr>
        <w:t xml:space="preserve">a nebude čerpat </w:t>
      </w:r>
      <w:r w:rsidRPr="00A129B4">
        <w:rPr>
          <w:rFonts w:cstheme="minorHAnsi"/>
          <w:snapToGrid w:val="0"/>
          <w:sz w:val="24"/>
          <w:szCs w:val="24"/>
        </w:rPr>
        <w:t>jinou veřejnou podporu podle článku 107 odst. 1 Smlouvy o fungování Evropské unie, podporu z prostředků Unie, které centrálně spravují orgány, agentury, společné podniky a jiné subjekty Unie</w:t>
      </w:r>
      <w:r w:rsidR="0065542E">
        <w:rPr>
          <w:rFonts w:cstheme="minorHAnsi"/>
          <w:snapToGrid w:val="0"/>
          <w:sz w:val="24"/>
          <w:szCs w:val="24"/>
        </w:rPr>
        <w:t>,</w:t>
      </w:r>
      <w:r w:rsidRPr="00A129B4">
        <w:rPr>
          <w:rFonts w:cstheme="minorHAnsi"/>
          <w:snapToGrid w:val="0"/>
          <w:sz w:val="24"/>
          <w:szCs w:val="24"/>
        </w:rPr>
        <w:t xml:space="preserve"> a která není přímo ani nepřímo pod kontrolou členských států, a ani podporu v režimu de minimis. Příjemce na </w:t>
      </w:r>
      <w:r w:rsidR="00050CAA">
        <w:rPr>
          <w:rFonts w:cstheme="minorHAnsi"/>
          <w:snapToGrid w:val="0"/>
          <w:sz w:val="24"/>
          <w:szCs w:val="24"/>
        </w:rPr>
        <w:t xml:space="preserve">stejné </w:t>
      </w:r>
      <w:r w:rsidRPr="00A129B4">
        <w:rPr>
          <w:rFonts w:cstheme="minorHAnsi"/>
          <w:snapToGrid w:val="0"/>
          <w:sz w:val="24"/>
          <w:szCs w:val="24"/>
        </w:rPr>
        <w:t xml:space="preserve">způsobilé výdaje </w:t>
      </w:r>
      <w:r w:rsidR="00A129B4">
        <w:rPr>
          <w:rFonts w:cstheme="minorHAnsi"/>
          <w:snapToGrid w:val="0"/>
          <w:sz w:val="24"/>
          <w:szCs w:val="24"/>
        </w:rPr>
        <w:br/>
      </w:r>
      <w:r w:rsidRPr="00A129B4">
        <w:rPr>
          <w:rFonts w:cstheme="minorHAnsi"/>
          <w:snapToGrid w:val="0"/>
          <w:sz w:val="24"/>
          <w:szCs w:val="24"/>
        </w:rPr>
        <w:t xml:space="preserve">a Aktivity nečerpá </w:t>
      </w:r>
      <w:r w:rsidR="0020207B" w:rsidRPr="00A129B4">
        <w:rPr>
          <w:rFonts w:cstheme="minorHAnsi"/>
          <w:snapToGrid w:val="0"/>
          <w:sz w:val="24"/>
          <w:szCs w:val="24"/>
        </w:rPr>
        <w:t xml:space="preserve">a nebude čerpat </w:t>
      </w:r>
      <w:r w:rsidRPr="00A129B4">
        <w:rPr>
          <w:rFonts w:cstheme="minorHAnsi"/>
          <w:snapToGrid w:val="0"/>
          <w:sz w:val="24"/>
          <w:szCs w:val="24"/>
        </w:rPr>
        <w:t>podporu z jiného fondu nebo nástroje Unie, případně téhož fondu, ale jiného programu/komponenty.</w:t>
      </w:r>
    </w:p>
    <w:p w14:paraId="552BBFFB" w14:textId="040B219F" w:rsidR="00050CAA" w:rsidRPr="00A129B4" w:rsidRDefault="00050CAA" w:rsidP="00947D8A">
      <w:pPr>
        <w:widowControl w:val="0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cstheme="minorHAnsi"/>
          <w:snapToGrid w:val="0"/>
          <w:sz w:val="24"/>
          <w:szCs w:val="24"/>
        </w:rPr>
      </w:pPr>
      <w:r w:rsidRPr="00947D8A">
        <w:rPr>
          <w:rFonts w:cstheme="minorHAnsi"/>
          <w:snapToGrid w:val="0"/>
          <w:sz w:val="24"/>
          <w:szCs w:val="24"/>
        </w:rPr>
        <w:t xml:space="preserve">v případě souběhu podpor na daném projektu uvede z jakého zdroje a v jaké výši čerpá souběžnou podporu a jednoznačně </w:t>
      </w:r>
      <w:proofErr w:type="gramStart"/>
      <w:r w:rsidRPr="00947D8A">
        <w:rPr>
          <w:rFonts w:cstheme="minorHAnsi"/>
          <w:snapToGrid w:val="0"/>
          <w:sz w:val="24"/>
          <w:szCs w:val="24"/>
        </w:rPr>
        <w:t>odliší</w:t>
      </w:r>
      <w:proofErr w:type="gramEnd"/>
      <w:r w:rsidRPr="00947D8A">
        <w:rPr>
          <w:rFonts w:cstheme="minorHAnsi"/>
          <w:snapToGrid w:val="0"/>
          <w:sz w:val="24"/>
          <w:szCs w:val="24"/>
        </w:rPr>
        <w:t xml:space="preserve"> a prokáže vazby mezi zdroji a jimi podpořenými výdaji.</w:t>
      </w:r>
    </w:p>
    <w:p w14:paraId="234331FC" w14:textId="17F98D9B" w:rsidR="00A129B4" w:rsidRPr="00A129B4" w:rsidRDefault="00A129B4" w:rsidP="0065542E">
      <w:pPr>
        <w:widowControl w:val="0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>v rámci přípravy projektu nebyly identifikovány dopady projektu dle zásady „významně nepoškozovat“ (DNSH) především ve smyslu článku 17 Nařízení (EU) 2020/852</w:t>
      </w:r>
      <w:r w:rsidRPr="0065542E">
        <w:rPr>
          <w:rFonts w:cstheme="minorHAnsi"/>
          <w:snapToGrid w:val="0"/>
          <w:sz w:val="24"/>
          <w:szCs w:val="24"/>
          <w:vertAlign w:val="superscript"/>
        </w:rPr>
        <w:footnoteReference w:id="2"/>
      </w:r>
      <w:r>
        <w:rPr>
          <w:rFonts w:cstheme="minorHAnsi"/>
          <w:snapToGrid w:val="0"/>
          <w:sz w:val="24"/>
          <w:szCs w:val="24"/>
        </w:rPr>
        <w:t xml:space="preserve"> </w:t>
      </w:r>
      <w:r>
        <w:rPr>
          <w:rFonts w:cstheme="minorHAnsi"/>
          <w:snapToGrid w:val="0"/>
          <w:sz w:val="24"/>
          <w:szCs w:val="24"/>
        </w:rPr>
        <w:br/>
      </w:r>
      <w:r w:rsidRPr="00A129B4">
        <w:rPr>
          <w:rFonts w:cstheme="minorHAnsi"/>
          <w:snapToGrid w:val="0"/>
          <w:sz w:val="24"/>
          <w:szCs w:val="24"/>
        </w:rPr>
        <w:t>o taxonomii v žádném z následujících cílů:</w:t>
      </w:r>
    </w:p>
    <w:p w14:paraId="63E14AB0" w14:textId="0B4BB613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Zmírňování změny klimatu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54FB4057" w14:textId="7294AF3F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Přizpůsobování se změně klimatu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45E033DB" w14:textId="4D13F481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Udržitelného využívání a ochrana vodních a mořských zdrojů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3EF9B374" w14:textId="1197D301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Oběhového hospodářství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5707B3A2" w14:textId="0886948D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Prevence a omezování znečištění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03E59F1F" w14:textId="49016EE2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Ochrany a obnovy biologické rozmanitosti a ekosystémů.</w:t>
      </w:r>
    </w:p>
    <w:p w14:paraId="12DBE800" w14:textId="37A5D2D8" w:rsidR="0018141E" w:rsidRDefault="0018141E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>s</w:t>
      </w:r>
      <w:r w:rsidR="0020207B" w:rsidRPr="00A129B4">
        <w:rPr>
          <w:rFonts w:cstheme="minorHAnsi"/>
          <w:snapToGrid w:val="0"/>
          <w:sz w:val="24"/>
          <w:szCs w:val="24"/>
        </w:rPr>
        <w:t xml:space="preserve">e zavazuje </w:t>
      </w:r>
      <w:r w:rsidRPr="00A129B4">
        <w:rPr>
          <w:rFonts w:cstheme="minorHAnsi"/>
          <w:snapToGrid w:val="0"/>
          <w:sz w:val="24"/>
          <w:szCs w:val="24"/>
        </w:rPr>
        <w:t>dodržovat</w:t>
      </w:r>
      <w:r w:rsidR="0065542E">
        <w:rPr>
          <w:rFonts w:cstheme="minorHAnsi"/>
          <w:snapToGrid w:val="0"/>
          <w:sz w:val="24"/>
          <w:szCs w:val="24"/>
        </w:rPr>
        <w:t xml:space="preserve"> a průběžně monitorovat</w:t>
      </w:r>
      <w:r w:rsidRPr="00A129B4">
        <w:rPr>
          <w:rFonts w:cstheme="minorHAnsi"/>
          <w:snapToGrid w:val="0"/>
          <w:sz w:val="24"/>
          <w:szCs w:val="24"/>
        </w:rPr>
        <w:t xml:space="preserve"> v rámci </w:t>
      </w:r>
      <w:r w:rsidR="0020207B" w:rsidRPr="00A129B4">
        <w:rPr>
          <w:rFonts w:cstheme="minorHAnsi"/>
          <w:snapToGrid w:val="0"/>
          <w:sz w:val="24"/>
          <w:szCs w:val="24"/>
        </w:rPr>
        <w:t>realiz</w:t>
      </w:r>
      <w:r w:rsidRPr="00A129B4">
        <w:rPr>
          <w:rFonts w:cstheme="minorHAnsi"/>
          <w:snapToGrid w:val="0"/>
          <w:sz w:val="24"/>
          <w:szCs w:val="24"/>
        </w:rPr>
        <w:t xml:space="preserve">ace projektu </w:t>
      </w:r>
      <w:r w:rsidR="0065542E">
        <w:rPr>
          <w:rFonts w:cstheme="minorHAnsi"/>
          <w:snapToGrid w:val="0"/>
          <w:sz w:val="24"/>
          <w:szCs w:val="24"/>
        </w:rPr>
        <w:t xml:space="preserve">i všech jeho veřejných zakázek </w:t>
      </w:r>
      <w:r w:rsidRPr="00A129B4">
        <w:rPr>
          <w:rFonts w:cstheme="minorHAnsi"/>
          <w:snapToGrid w:val="0"/>
          <w:sz w:val="24"/>
          <w:szCs w:val="24"/>
        </w:rPr>
        <w:t>zásadu „významně nepoškozovat“, to znamená nepodporovat nebo nevykonávat hospodářské činnosti, které významně poškozují kterýkoli environmentální cíl, případně ve smyslu článku 17 Nařízení (EU) 2020/852 a dále ve smyslu Oznámení Komise</w:t>
      </w:r>
      <w:r w:rsidRPr="0065542E">
        <w:rPr>
          <w:rFonts w:cstheme="minorHAnsi"/>
          <w:snapToGrid w:val="0"/>
          <w:sz w:val="24"/>
          <w:szCs w:val="24"/>
          <w:vertAlign w:val="superscript"/>
        </w:rPr>
        <w:footnoteReference w:id="3"/>
      </w:r>
      <w:r w:rsidR="0065542E" w:rsidRPr="0065542E">
        <w:rPr>
          <w:rFonts w:cstheme="minorHAnsi"/>
          <w:snapToGrid w:val="0"/>
          <w:sz w:val="24"/>
          <w:szCs w:val="24"/>
        </w:rPr>
        <w:t xml:space="preserve"> </w:t>
      </w:r>
      <w:r w:rsidR="0065542E" w:rsidRPr="0065542E">
        <w:rPr>
          <w:sz w:val="24"/>
          <w:szCs w:val="24"/>
        </w:rPr>
        <w:t xml:space="preserve">a případné nově identifikované dopady </w:t>
      </w:r>
      <w:r w:rsidR="008F2B69">
        <w:rPr>
          <w:sz w:val="24"/>
          <w:szCs w:val="24"/>
        </w:rPr>
        <w:t>neprodleně ozna</w:t>
      </w:r>
      <w:r w:rsidR="0065542E" w:rsidRPr="0065542E">
        <w:rPr>
          <w:sz w:val="24"/>
          <w:szCs w:val="24"/>
        </w:rPr>
        <w:t>m</w:t>
      </w:r>
      <w:r w:rsidR="0065542E">
        <w:rPr>
          <w:sz w:val="24"/>
          <w:szCs w:val="24"/>
        </w:rPr>
        <w:t>ovat</w:t>
      </w:r>
      <w:r w:rsidR="0065542E" w:rsidRPr="0065542E">
        <w:rPr>
          <w:sz w:val="24"/>
          <w:szCs w:val="24"/>
        </w:rPr>
        <w:t xml:space="preserve"> vlastníkovi komponenty (</w:t>
      </w:r>
      <w:r w:rsidR="00B21BED">
        <w:rPr>
          <w:sz w:val="24"/>
          <w:szCs w:val="24"/>
        </w:rPr>
        <w:t>DIA</w:t>
      </w:r>
      <w:r w:rsidR="0065542E" w:rsidRPr="0065542E">
        <w:rPr>
          <w:sz w:val="24"/>
          <w:szCs w:val="24"/>
        </w:rPr>
        <w:t>)</w:t>
      </w:r>
      <w:r w:rsidRPr="0065542E">
        <w:rPr>
          <w:rFonts w:cstheme="minorHAnsi"/>
          <w:snapToGrid w:val="0"/>
          <w:sz w:val="24"/>
          <w:szCs w:val="24"/>
        </w:rPr>
        <w:t>.</w:t>
      </w:r>
    </w:p>
    <w:p w14:paraId="3416E268" w14:textId="44A49A0D" w:rsidR="00947D8A" w:rsidRDefault="00F90996" w:rsidP="00947D8A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  <w:sectPr w:rsidR="00947D8A" w:rsidSect="00F909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17" w:bottom="1417" w:left="1417" w:header="708" w:footer="708" w:gutter="0"/>
          <w:cols w:space="708"/>
          <w:docGrid w:linePitch="360"/>
        </w:sectPr>
      </w:pPr>
      <w:r w:rsidRPr="00947D8A">
        <w:rPr>
          <w:rFonts w:cstheme="minorHAnsi"/>
          <w:snapToGrid w:val="0"/>
          <w:sz w:val="24"/>
          <w:szCs w:val="24"/>
        </w:rPr>
        <w:t xml:space="preserve">při realizaci projektu i všech jeho veřejných zakázek bude využívat environmentálně </w:t>
      </w:r>
    </w:p>
    <w:p w14:paraId="41149482" w14:textId="138654C0" w:rsidR="0065542E" w:rsidRPr="00947D8A" w:rsidRDefault="00F90996" w:rsidP="00947D8A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947D8A">
        <w:rPr>
          <w:rFonts w:cstheme="minorHAnsi"/>
          <w:snapToGrid w:val="0"/>
          <w:sz w:val="24"/>
          <w:szCs w:val="24"/>
        </w:rPr>
        <w:lastRenderedPageBreak/>
        <w:t xml:space="preserve">odpovědný přístup (např. dle Metodiky pro environmentálně odpovědný přístup </w:t>
      </w:r>
      <w:r w:rsidR="00336149" w:rsidRPr="00947D8A">
        <w:rPr>
          <w:rFonts w:cstheme="minorHAnsi"/>
          <w:snapToGrid w:val="0"/>
          <w:sz w:val="24"/>
          <w:szCs w:val="24"/>
        </w:rPr>
        <w:br/>
      </w:r>
      <w:r w:rsidRPr="00947D8A">
        <w:rPr>
          <w:rFonts w:cstheme="minorHAnsi"/>
          <w:snapToGrid w:val="0"/>
          <w:sz w:val="24"/>
          <w:szCs w:val="24"/>
        </w:rPr>
        <w:t>při zadávání veřejných zakázek a</w:t>
      </w:r>
      <w:r w:rsidRPr="00947D8A">
        <w:rPr>
          <w:sz w:val="24"/>
          <w:szCs w:val="24"/>
        </w:rPr>
        <w:t xml:space="preserve"> nákupech státní správy a samosprávy).</w:t>
      </w:r>
    </w:p>
    <w:p w14:paraId="21756822" w14:textId="2DFD87C4" w:rsidR="00336149" w:rsidRDefault="00F90996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v rámci přípravy projektu nebylo identifikováno jakékoliv riziko střetu zájmu</w:t>
      </w:r>
      <w:r w:rsidR="00336149" w:rsidRPr="00A129B4">
        <w:rPr>
          <w:rFonts w:cstheme="minorHAnsi"/>
          <w:snapToGrid w:val="0"/>
          <w:sz w:val="24"/>
          <w:szCs w:val="24"/>
        </w:rPr>
        <w:t xml:space="preserve">, a to jak </w:t>
      </w:r>
      <w:r w:rsidR="00336149">
        <w:rPr>
          <w:rFonts w:cstheme="minorHAnsi"/>
          <w:snapToGrid w:val="0"/>
          <w:sz w:val="24"/>
          <w:szCs w:val="24"/>
        </w:rPr>
        <w:br/>
      </w:r>
      <w:r w:rsidR="00336149" w:rsidRPr="00A129B4">
        <w:rPr>
          <w:rFonts w:cstheme="minorHAnsi"/>
          <w:snapToGrid w:val="0"/>
          <w:sz w:val="24"/>
          <w:szCs w:val="24"/>
        </w:rPr>
        <w:t xml:space="preserve">u osoby </w:t>
      </w:r>
      <w:r w:rsidR="00336149">
        <w:rPr>
          <w:rFonts w:cstheme="minorHAnsi"/>
          <w:snapToGrid w:val="0"/>
          <w:sz w:val="24"/>
          <w:szCs w:val="24"/>
        </w:rPr>
        <w:t>žadatele</w:t>
      </w:r>
      <w:r w:rsidR="00336149" w:rsidRPr="00A129B4">
        <w:rPr>
          <w:rFonts w:cstheme="minorHAnsi"/>
          <w:snapToGrid w:val="0"/>
          <w:sz w:val="24"/>
          <w:szCs w:val="24"/>
        </w:rPr>
        <w:t xml:space="preserve"> finanční podpory, osoby dodavatele, tak mezi dodavatelem a </w:t>
      </w:r>
      <w:r w:rsidR="00336149">
        <w:rPr>
          <w:rFonts w:cstheme="minorHAnsi"/>
          <w:snapToGrid w:val="0"/>
          <w:sz w:val="24"/>
          <w:szCs w:val="24"/>
        </w:rPr>
        <w:t>žadatelem</w:t>
      </w:r>
      <w:r w:rsidR="00336149" w:rsidRPr="00A129B4">
        <w:rPr>
          <w:rFonts w:cstheme="minorHAnsi"/>
          <w:snapToGrid w:val="0"/>
          <w:sz w:val="24"/>
          <w:szCs w:val="24"/>
        </w:rPr>
        <w:t xml:space="preserve"> finanční podpory (zadavatelem) dle článku 61 finančního nařízení – Nařízení Evropského Parlamentu a Rady 2018/1046</w:t>
      </w:r>
      <w:r w:rsidR="00253E75">
        <w:rPr>
          <w:rFonts w:cstheme="minorHAnsi"/>
          <w:snapToGrid w:val="0"/>
          <w:sz w:val="24"/>
          <w:szCs w:val="24"/>
        </w:rPr>
        <w:t>.</w:t>
      </w:r>
      <w:r>
        <w:rPr>
          <w:rFonts w:cstheme="minorHAnsi"/>
          <w:snapToGrid w:val="0"/>
          <w:sz w:val="24"/>
          <w:szCs w:val="24"/>
        </w:rPr>
        <w:t xml:space="preserve"> </w:t>
      </w:r>
    </w:p>
    <w:p w14:paraId="30FD7EC0" w14:textId="46B187C2" w:rsidR="001863F4" w:rsidRDefault="00336149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se</w:t>
      </w:r>
      <w:r w:rsidR="008F2B69">
        <w:rPr>
          <w:rFonts w:cstheme="minorHAnsi"/>
          <w:snapToGrid w:val="0"/>
          <w:sz w:val="24"/>
          <w:szCs w:val="24"/>
        </w:rPr>
        <w:t xml:space="preserve"> zavazuje </w:t>
      </w:r>
      <w:r w:rsidR="001863F4" w:rsidRPr="00A129B4">
        <w:rPr>
          <w:rFonts w:cstheme="minorHAnsi"/>
          <w:snapToGrid w:val="0"/>
          <w:sz w:val="24"/>
          <w:szCs w:val="24"/>
        </w:rPr>
        <w:t xml:space="preserve">v rámci realizace projektu vyloučit jakékoliv riziko střetu zájmu, a to jak </w:t>
      </w:r>
      <w:r>
        <w:rPr>
          <w:rFonts w:cstheme="minorHAnsi"/>
          <w:snapToGrid w:val="0"/>
          <w:sz w:val="24"/>
          <w:szCs w:val="24"/>
        </w:rPr>
        <w:br/>
      </w:r>
      <w:r w:rsidR="001863F4" w:rsidRPr="00A129B4">
        <w:rPr>
          <w:rFonts w:cstheme="minorHAnsi"/>
          <w:snapToGrid w:val="0"/>
          <w:sz w:val="24"/>
          <w:szCs w:val="24"/>
        </w:rPr>
        <w:t>u osoby příjemce finanční podpory, osoby dodavatele, tak mezi dodavatelem a příjemcem finanční podpory (zadavatelem) dle článku 61 finančního nařízení – Nařízení Evropského Parlamentu a Rady 2018/1046</w:t>
      </w:r>
      <w:r w:rsidR="009B78A0">
        <w:rPr>
          <w:rStyle w:val="Znakapoznpodarou"/>
          <w:rFonts w:cstheme="minorHAnsi"/>
          <w:snapToGrid w:val="0"/>
          <w:sz w:val="24"/>
          <w:szCs w:val="24"/>
        </w:rPr>
        <w:footnoteReference w:id="4"/>
      </w:r>
      <w:r w:rsidR="00253E75">
        <w:rPr>
          <w:rFonts w:cstheme="minorHAnsi"/>
          <w:snapToGrid w:val="0"/>
          <w:sz w:val="24"/>
          <w:szCs w:val="24"/>
        </w:rPr>
        <w:t>.</w:t>
      </w:r>
    </w:p>
    <w:p w14:paraId="23B1F2D2" w14:textId="73C45A92" w:rsidR="009F3650" w:rsidRPr="00A129B4" w:rsidRDefault="009F3650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>
        <w:t>se zavazuje poskytnout VK informace, aby mohlo být odhaleno případné ohrožení finančních zájmů Unie s ohledem na aplikaci střetu zájmů dle čl. 61 Finančního nařízení.</w:t>
      </w:r>
    </w:p>
    <w:p w14:paraId="07F44B85" w14:textId="3E111D21" w:rsidR="001863F4" w:rsidRDefault="001863F4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>se zavazuje v rámci realizace a udržitelnosti projektu bránit a předcházet možnému vzniku podvodů a korupce.</w:t>
      </w:r>
    </w:p>
    <w:p w14:paraId="31974159" w14:textId="2117FF1A" w:rsidR="00253E75" w:rsidRPr="00A129B4" w:rsidRDefault="007B31B2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se zavazuje poskytovat </w:t>
      </w:r>
      <w:r w:rsidR="009B78A0">
        <w:rPr>
          <w:rFonts w:cstheme="minorHAnsi"/>
          <w:snapToGrid w:val="0"/>
          <w:sz w:val="24"/>
          <w:szCs w:val="24"/>
        </w:rPr>
        <w:t xml:space="preserve">vlastníkovi komponenty </w:t>
      </w:r>
      <w:r>
        <w:rPr>
          <w:rFonts w:cstheme="minorHAnsi"/>
          <w:snapToGrid w:val="0"/>
          <w:sz w:val="24"/>
          <w:szCs w:val="24"/>
        </w:rPr>
        <w:t>v rámci realizace projektu</w:t>
      </w:r>
      <w:r w:rsidR="00253E75">
        <w:rPr>
          <w:rFonts w:cstheme="minorHAnsi"/>
          <w:snapToGrid w:val="0"/>
          <w:sz w:val="24"/>
          <w:szCs w:val="24"/>
        </w:rPr>
        <w:t xml:space="preserve"> veškeré informace</w:t>
      </w:r>
      <w:r w:rsidR="00253E75">
        <w:t>, vyplývající z článku 22 Nařízení Evropského parlamentu a Rady 2021/241, kterým se zřizuje Nástroj pro oživení</w:t>
      </w:r>
      <w:r w:rsidR="009B78A0">
        <w:rPr>
          <w:rStyle w:val="Znakapoznpodarou"/>
        </w:rPr>
        <w:footnoteReference w:id="5"/>
      </w:r>
      <w:r w:rsidR="00253E75">
        <w:t>.</w:t>
      </w:r>
    </w:p>
    <w:p w14:paraId="6ED097C5" w14:textId="5FF813DF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4B1F3BF6" w14:textId="77777777" w:rsidR="00336149" w:rsidRDefault="00336149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535B4CFD" w14:textId="77777777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  <w:r>
        <w:rPr>
          <w:rFonts w:cstheme="minorHAnsi"/>
          <w:snapToGrid w:val="0"/>
          <w:sz w:val="28"/>
          <w:szCs w:val="28"/>
        </w:rPr>
        <w:t>V ………… dne ……………</w:t>
      </w:r>
    </w:p>
    <w:p w14:paraId="70A55974" w14:textId="77777777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1265A54A" w14:textId="77777777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32514605" w14:textId="48CB34CD" w:rsidR="003441D5" w:rsidRDefault="003441D5" w:rsidP="00AF5220">
      <w:pPr>
        <w:widowControl w:val="0"/>
        <w:spacing w:after="120" w:line="240" w:lineRule="auto"/>
        <w:ind w:right="-2"/>
        <w:jc w:val="both"/>
      </w:pP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  <w:t>……..…………………………………………</w:t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 w:rsidRPr="00663FAC">
        <w:rPr>
          <w:rFonts w:cstheme="minorHAnsi"/>
          <w:snapToGrid w:val="0"/>
        </w:rPr>
        <w:t>(jméno, příjmení, funkce, razítko, podpis)</w:t>
      </w:r>
    </w:p>
    <w:sectPr w:rsidR="003441D5" w:rsidSect="00F90996">
      <w:headerReference w:type="default" r:id="rId1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0EDD" w14:textId="77777777" w:rsidR="00472E2C" w:rsidRDefault="00472E2C" w:rsidP="003441D5">
      <w:pPr>
        <w:spacing w:after="0" w:line="240" w:lineRule="auto"/>
      </w:pPr>
      <w:r>
        <w:separator/>
      </w:r>
    </w:p>
  </w:endnote>
  <w:endnote w:type="continuationSeparator" w:id="0">
    <w:p w14:paraId="7E0F2333" w14:textId="77777777" w:rsidR="00472E2C" w:rsidRDefault="00472E2C" w:rsidP="003441D5">
      <w:pPr>
        <w:spacing w:after="0" w:line="240" w:lineRule="auto"/>
      </w:pPr>
      <w:r>
        <w:continuationSeparator/>
      </w:r>
    </w:p>
  </w:endnote>
  <w:endnote w:type="continuationNotice" w:id="1">
    <w:p w14:paraId="46E4D93B" w14:textId="77777777" w:rsidR="00472E2C" w:rsidRDefault="00472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EC86" w14:textId="77777777" w:rsidR="002B72D0" w:rsidRDefault="002B72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7A5" w14:textId="77777777" w:rsidR="002B72D0" w:rsidRDefault="002B72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66A5" w14:textId="77777777" w:rsidR="002B72D0" w:rsidRDefault="002B72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891C" w14:textId="77777777" w:rsidR="00472E2C" w:rsidRDefault="00472E2C" w:rsidP="003441D5">
      <w:pPr>
        <w:spacing w:after="0" w:line="240" w:lineRule="auto"/>
      </w:pPr>
      <w:r>
        <w:separator/>
      </w:r>
    </w:p>
  </w:footnote>
  <w:footnote w:type="continuationSeparator" w:id="0">
    <w:p w14:paraId="300F57FD" w14:textId="77777777" w:rsidR="00472E2C" w:rsidRDefault="00472E2C" w:rsidP="003441D5">
      <w:pPr>
        <w:spacing w:after="0" w:line="240" w:lineRule="auto"/>
      </w:pPr>
      <w:r>
        <w:continuationSeparator/>
      </w:r>
    </w:p>
  </w:footnote>
  <w:footnote w:type="continuationNotice" w:id="1">
    <w:p w14:paraId="79EA6A6D" w14:textId="77777777" w:rsidR="00472E2C" w:rsidRDefault="00472E2C">
      <w:pPr>
        <w:spacing w:after="0" w:line="240" w:lineRule="auto"/>
      </w:pPr>
    </w:p>
  </w:footnote>
  <w:footnote w:id="2">
    <w:p w14:paraId="46D09404" w14:textId="1A00CF2D" w:rsidR="00A129B4" w:rsidRDefault="00A129B4" w:rsidP="00A129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082A43">
          <w:rPr>
            <w:rStyle w:val="Hypertextovodkaz"/>
          </w:rPr>
          <w:t>https://eur-lex.europa.eu/legal-content/CS/TXT/?uri=CELEX:32020R0852</w:t>
        </w:r>
      </w:hyperlink>
      <w:r>
        <w:t xml:space="preserve"> </w:t>
      </w:r>
    </w:p>
  </w:footnote>
  <w:footnote w:id="3">
    <w:p w14:paraId="1FF7FFE4" w14:textId="77777777" w:rsidR="00B9244E" w:rsidRDefault="00B9244E" w:rsidP="001814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082A43">
          <w:rPr>
            <w:rStyle w:val="Hypertextovodkaz"/>
          </w:rPr>
          <w:t>https://eur-lex.europa.eu/legal-content/CS/ALL/?uri=CELEX:52021XC0218(01)</w:t>
        </w:r>
      </w:hyperlink>
      <w:r>
        <w:t xml:space="preserve"> </w:t>
      </w:r>
    </w:p>
  </w:footnote>
  <w:footnote w:id="4">
    <w:p w14:paraId="53CA5C92" w14:textId="42DC9160" w:rsidR="009B78A0" w:rsidRDefault="009B7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="00882D47" w:rsidRPr="00C45D79">
          <w:rPr>
            <w:rStyle w:val="Hypertextovodkaz"/>
          </w:rPr>
          <w:t>https://eur-lex.europa.eu/legal-content/cs/TXT/?uri=CELEX%3A32018R1046</w:t>
        </w:r>
      </w:hyperlink>
      <w:r w:rsidR="00882D47">
        <w:t xml:space="preserve"> </w:t>
      </w:r>
    </w:p>
  </w:footnote>
  <w:footnote w:id="5">
    <w:p w14:paraId="30A2467D" w14:textId="39551C55" w:rsidR="009B78A0" w:rsidRDefault="009B78A0" w:rsidP="009B7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 w:rsidR="00882D47" w:rsidRPr="00C45D79">
          <w:rPr>
            <w:rStyle w:val="Hypertextovodkaz"/>
          </w:rPr>
          <w:t>https://eur-lex.europa.eu/legal-content/CS/TXT/?uri=CELEX:32021R0241</w:t>
        </w:r>
      </w:hyperlink>
      <w:r w:rsidR="00882D4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FE14" w14:textId="77777777" w:rsidR="002B72D0" w:rsidRDefault="002B72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DDFB" w14:textId="4117F91B" w:rsidR="00947D8A" w:rsidRDefault="002E77E7" w:rsidP="00947D8A">
    <w:pPr>
      <w:pStyle w:val="Zhlav"/>
      <w:tabs>
        <w:tab w:val="clear" w:pos="4536"/>
        <w:tab w:val="clear" w:pos="9072"/>
        <w:tab w:val="left" w:pos="4080"/>
      </w:tabs>
      <w:jc w:val="both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CF33438" wp14:editId="211493ED">
          <wp:simplePos x="0" y="0"/>
          <wp:positionH relativeFrom="margin">
            <wp:posOffset>4699000</wp:posOffset>
          </wp:positionH>
          <wp:positionV relativeFrom="topMargin">
            <wp:posOffset>541020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67456" behindDoc="0" locked="0" layoutInCell="1" allowOverlap="1" wp14:anchorId="76E18096" wp14:editId="63412112">
          <wp:simplePos x="0" y="0"/>
          <wp:positionH relativeFrom="margin">
            <wp:posOffset>-131445</wp:posOffset>
          </wp:positionH>
          <wp:positionV relativeFrom="topMargin">
            <wp:posOffset>419100</wp:posOffset>
          </wp:positionV>
          <wp:extent cx="1718945" cy="514350"/>
          <wp:effectExtent l="0" t="0" r="0" b="0"/>
          <wp:wrapSquare wrapText="bothSides"/>
          <wp:docPr id="1263052302" name="Obrázek 1263052302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</w:t>
    </w:r>
    <w:r>
      <w:rPr>
        <w:noProof/>
      </w:rPr>
      <w:drawing>
        <wp:inline distT="0" distB="0" distL="0" distR="0" wp14:anchorId="48DB3E86" wp14:editId="7ADB63C8">
          <wp:extent cx="1263650" cy="514350"/>
          <wp:effectExtent l="0" t="0" r="0" b="0"/>
          <wp:docPr id="1551426747" name="Obrázek 1" descr="Obsah obrázku Písmo, symbol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65222" cy="5149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886B" w14:textId="77777777" w:rsidR="002B72D0" w:rsidRDefault="002B72D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410C0D82" w:rsidR="00947D8A" w:rsidRDefault="0087788F" w:rsidP="00947D8A">
    <w:pPr>
      <w:pStyle w:val="Zhlav"/>
    </w:pPr>
    <w:r>
      <w:rPr>
        <w:noProof/>
      </w:rPr>
      <w:drawing>
        <wp:anchor distT="0" distB="0" distL="114300" distR="114300" simplePos="0" relativeHeight="251677696" behindDoc="0" locked="0" layoutInCell="1" allowOverlap="1" wp14:anchorId="6ED8EA23" wp14:editId="4F5DAE6E">
          <wp:simplePos x="0" y="0"/>
          <wp:positionH relativeFrom="margin">
            <wp:posOffset>4758690</wp:posOffset>
          </wp:positionH>
          <wp:positionV relativeFrom="topMargin">
            <wp:posOffset>571500</wp:posOffset>
          </wp:positionV>
          <wp:extent cx="858520" cy="389255"/>
          <wp:effectExtent l="0" t="0" r="0" b="0"/>
          <wp:wrapSquare wrapText="bothSides"/>
          <wp:docPr id="797554274" name="Obrázek 797554274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</w:t>
    </w:r>
    <w:r>
      <w:rPr>
        <w:noProof/>
      </w:rPr>
      <w:drawing>
        <wp:inline distT="0" distB="0" distL="0" distR="0" wp14:anchorId="188AEAA2" wp14:editId="6B1AC624">
          <wp:extent cx="1346200" cy="565150"/>
          <wp:effectExtent l="0" t="0" r="6350" b="6350"/>
          <wp:docPr id="721630534" name="Obrázek 1" descr="Obsah obrázku Písmo, symbol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426747" name="Obrázek 1" descr="Obsah obrázku Písmo, symbol, Grafika, logo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6200" cy="5651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72BF3"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73600" behindDoc="0" locked="0" layoutInCell="1" allowOverlap="1" wp14:anchorId="2C9663C9" wp14:editId="68B5FCC1">
          <wp:simplePos x="0" y="0"/>
          <wp:positionH relativeFrom="margin">
            <wp:posOffset>122555</wp:posOffset>
          </wp:positionH>
          <wp:positionV relativeFrom="topMargin">
            <wp:posOffset>488950</wp:posOffset>
          </wp:positionV>
          <wp:extent cx="1581785" cy="473075"/>
          <wp:effectExtent l="0" t="0" r="0" b="3175"/>
          <wp:wrapSquare wrapText="bothSides"/>
          <wp:docPr id="423097151" name="Obrázek 423097151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88AF72" w14:textId="6397D44E" w:rsidR="00947D8A" w:rsidRPr="00947D8A" w:rsidRDefault="00947D8A" w:rsidP="0087788F">
    <w:pPr>
      <w:pStyle w:val="Bezmezer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99873">
    <w:abstractNumId w:val="1"/>
  </w:num>
  <w:num w:numId="2" w16cid:durableId="112867023">
    <w:abstractNumId w:val="2"/>
  </w:num>
  <w:num w:numId="3" w16cid:durableId="2141263120">
    <w:abstractNumId w:val="3"/>
  </w:num>
  <w:num w:numId="4" w16cid:durableId="1508592834">
    <w:abstractNumId w:val="0"/>
  </w:num>
  <w:num w:numId="5" w16cid:durableId="383137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E24FA"/>
    <w:rsid w:val="00114D9C"/>
    <w:rsid w:val="00116004"/>
    <w:rsid w:val="0018141E"/>
    <w:rsid w:val="001863F4"/>
    <w:rsid w:val="0020207B"/>
    <w:rsid w:val="00243A05"/>
    <w:rsid w:val="00253E75"/>
    <w:rsid w:val="002721F5"/>
    <w:rsid w:val="00272BF3"/>
    <w:rsid w:val="00283A7A"/>
    <w:rsid w:val="002A224F"/>
    <w:rsid w:val="002B72D0"/>
    <w:rsid w:val="002D340B"/>
    <w:rsid w:val="002E77E7"/>
    <w:rsid w:val="00336149"/>
    <w:rsid w:val="003441D5"/>
    <w:rsid w:val="003B2229"/>
    <w:rsid w:val="00472E2C"/>
    <w:rsid w:val="006000DE"/>
    <w:rsid w:val="006046D5"/>
    <w:rsid w:val="0065542E"/>
    <w:rsid w:val="007B31B2"/>
    <w:rsid w:val="007C2274"/>
    <w:rsid w:val="00850E01"/>
    <w:rsid w:val="0087788F"/>
    <w:rsid w:val="00882D47"/>
    <w:rsid w:val="008F2B69"/>
    <w:rsid w:val="009464F1"/>
    <w:rsid w:val="00947D8A"/>
    <w:rsid w:val="00952B12"/>
    <w:rsid w:val="00960653"/>
    <w:rsid w:val="0098035E"/>
    <w:rsid w:val="009B78A0"/>
    <w:rsid w:val="009F3650"/>
    <w:rsid w:val="00A129B4"/>
    <w:rsid w:val="00AF5220"/>
    <w:rsid w:val="00B21BED"/>
    <w:rsid w:val="00B9244E"/>
    <w:rsid w:val="00C46A4A"/>
    <w:rsid w:val="00DE5493"/>
    <w:rsid w:val="00E744B7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cs/TXT/?uri=CELEX%3A32018R1046" TargetMode="External"/><Relationship Id="rId2" Type="http://schemas.openxmlformats.org/officeDocument/2006/relationships/hyperlink" Target="https://eur-lex.europa.eu/legal-content/CS/ALL/?uri=CELEX:52021XC0218(01)" TargetMode="External"/><Relationship Id="rId1" Type="http://schemas.openxmlformats.org/officeDocument/2006/relationships/hyperlink" Target="https://eur-lex.europa.eu/legal-content/CS/TXT/?uri=CELEX:32020R0852" TargetMode="External"/><Relationship Id="rId4" Type="http://schemas.openxmlformats.org/officeDocument/2006/relationships/hyperlink" Target="https://eur-lex.europa.eu/legal-content/CS/TXT/?uri=CELEX:32021R024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93FEB-52DB-4B3F-9C3D-1F790788D9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83ED9-1BA4-45A4-AA08-74D04A8B2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BC90C-41A9-4C0D-9BC5-E0F274F242F0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916b2cbe-7531-43b4-96c1-e8f7da909d25"/>
    <ds:schemaRef ds:uri="3ff5ae98-e02e-4893-abb9-d380d5b7b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Bartoňová Hana</cp:lastModifiedBy>
  <cp:revision>2</cp:revision>
  <dcterms:created xsi:type="dcterms:W3CDTF">2024-04-23T16:28:00Z</dcterms:created>
  <dcterms:modified xsi:type="dcterms:W3CDTF">2024-04-23T16:28:00Z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2023-11-24T13:02:35Z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bdb71ebf-2814-47e3-bf7e-d9868d736f43</vt:lpwstr>
  </property>
  <property fmtid="{D5CDD505-2E9C-101B-9397-08002B2CF9AE}" pid="9" name="MSIP_Label_defa4170-0d19-0005-0004-bc88714345d2_ContentBits">
    <vt:lpwstr>0</vt:lpwstr>
  </property>
</Properties>
</file>