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D78F" w14:textId="43A65660" w:rsidR="00CC002C" w:rsidRPr="004B7A0E" w:rsidRDefault="00CC002C" w:rsidP="00976B88">
      <w:pPr>
        <w:rPr>
          <w:rFonts w:asciiTheme="minorHAnsi" w:hAnsiTheme="minorHAnsi" w:cstheme="minorHAnsi"/>
        </w:rPr>
      </w:pPr>
    </w:p>
    <w:p w14:paraId="4AB77DB0" w14:textId="77777777" w:rsidR="0075161C" w:rsidRPr="004B7A0E" w:rsidRDefault="0075161C" w:rsidP="00976B88">
      <w:pPr>
        <w:rPr>
          <w:rFonts w:asciiTheme="minorHAnsi" w:hAnsiTheme="minorHAnsi" w:cstheme="minorHAnsi"/>
        </w:rPr>
      </w:pPr>
    </w:p>
    <w:p w14:paraId="2F3A7DF7" w14:textId="73718D06" w:rsidR="00976B88" w:rsidRPr="004B7A0E" w:rsidRDefault="00943D8D" w:rsidP="003C428C">
      <w:pPr>
        <w:jc w:val="center"/>
        <w:rPr>
          <w:rFonts w:asciiTheme="minorHAnsi" w:hAnsiTheme="minorHAnsi" w:cstheme="minorHAnsi"/>
          <w:b/>
          <w:bCs/>
        </w:rPr>
      </w:pPr>
      <w:r w:rsidRPr="004B7A0E">
        <w:rPr>
          <w:rFonts w:asciiTheme="minorHAnsi" w:hAnsiTheme="minorHAnsi" w:cstheme="minorHAnsi"/>
          <w:b/>
          <w:bCs/>
        </w:rPr>
        <w:t>Reportovací list</w:t>
      </w:r>
      <w:r w:rsidR="00790B4F" w:rsidRPr="004B7A0E">
        <w:rPr>
          <w:rFonts w:asciiTheme="minorHAnsi" w:hAnsiTheme="minorHAnsi" w:cstheme="minorHAnsi"/>
          <w:b/>
          <w:bCs/>
        </w:rPr>
        <w:t xml:space="preserve"> </w:t>
      </w:r>
      <w:r w:rsidRPr="004B7A0E">
        <w:rPr>
          <w:rFonts w:asciiTheme="minorHAnsi" w:hAnsiTheme="minorHAnsi" w:cstheme="minorHAnsi"/>
          <w:b/>
          <w:bCs/>
        </w:rPr>
        <w:t xml:space="preserve">k plnění zásady „významně nepoškozovat“ </w:t>
      </w:r>
    </w:p>
    <w:p w14:paraId="6937A13A" w14:textId="62FF67E1" w:rsidR="00943D8D" w:rsidRPr="004B7A0E" w:rsidRDefault="00943D8D">
      <w:pPr>
        <w:rPr>
          <w:rFonts w:asciiTheme="minorHAnsi" w:hAnsiTheme="minorHAnsi" w:cstheme="minorBidi"/>
        </w:rPr>
      </w:pPr>
    </w:p>
    <w:p w14:paraId="746B2032" w14:textId="470E3A26" w:rsidR="005965CE" w:rsidRPr="004B7A0E" w:rsidRDefault="005965CE">
      <w:pPr>
        <w:rPr>
          <w:rFonts w:asciiTheme="minorHAnsi" w:hAnsiTheme="minorHAnsi" w:cstheme="minorBidi"/>
          <w:u w:val="single"/>
        </w:rPr>
      </w:pPr>
      <w:r w:rsidRPr="604A64FE">
        <w:rPr>
          <w:rFonts w:asciiTheme="minorHAnsi" w:hAnsiTheme="minorHAnsi" w:cstheme="minorBidi"/>
          <w:u w:val="single"/>
        </w:rPr>
        <w:t>Název opatření dle Národního plánu:</w:t>
      </w:r>
    </w:p>
    <w:p w14:paraId="795710FF" w14:textId="5D6DFC02" w:rsidR="604A64FE" w:rsidRDefault="604A64FE" w:rsidP="604A64FE">
      <w:pPr>
        <w:rPr>
          <w:rFonts w:asciiTheme="minorHAnsi" w:hAnsiTheme="minorHAnsi" w:cstheme="minorBidi"/>
          <w:u w:val="single"/>
        </w:rPr>
      </w:pPr>
    </w:p>
    <w:p w14:paraId="4CBF1706" w14:textId="77777777" w:rsidR="00976B88" w:rsidRPr="004B7A0E" w:rsidRDefault="00790B4F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59E31A91" w14:textId="7DC33B2E" w:rsidR="00790B4F" w:rsidRPr="004B7A0E" w:rsidRDefault="00A37F0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402BF975" w14:textId="0447E945" w:rsidR="00790B4F" w:rsidRPr="004B7A0E" w:rsidRDefault="00790B4F">
      <w:pPr>
        <w:rPr>
          <w:rFonts w:asciiTheme="minorHAnsi" w:hAnsiTheme="minorHAnsi" w:cstheme="minorBidi"/>
          <w:u w:val="single"/>
        </w:rPr>
      </w:pPr>
    </w:p>
    <w:p w14:paraId="720DC98E" w14:textId="663C115E" w:rsidR="00790B4F" w:rsidRPr="004B7A0E" w:rsidRDefault="00465196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5F928E26" w14:textId="7E0E1E7E" w:rsidR="00F35664" w:rsidRDefault="00F35664">
      <w:pPr>
        <w:rPr>
          <w:rFonts w:asciiTheme="minorHAnsi" w:hAnsiTheme="minorHAnsi" w:cstheme="minorBidi"/>
        </w:rPr>
      </w:pPr>
      <w:r w:rsidRPr="00F35664">
        <w:rPr>
          <w:rFonts w:asciiTheme="minorHAnsi" w:hAnsiTheme="minorHAnsi" w:cstheme="minorBidi"/>
        </w:rPr>
        <w:t xml:space="preserve">The DNSH </w:t>
      </w:r>
      <w:proofErr w:type="spellStart"/>
      <w:r w:rsidRPr="00F35664">
        <w:rPr>
          <w:rFonts w:asciiTheme="minorHAnsi" w:hAnsiTheme="minorHAnsi" w:cstheme="minorBidi"/>
        </w:rPr>
        <w:t>implementation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is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described</w:t>
      </w:r>
      <w:proofErr w:type="spellEnd"/>
      <w:r w:rsidRPr="00F35664">
        <w:rPr>
          <w:rFonts w:asciiTheme="minorHAnsi" w:hAnsiTheme="minorHAnsi" w:cstheme="minorBidi"/>
        </w:rPr>
        <w:t xml:space="preserve"> in the "</w:t>
      </w:r>
      <w:proofErr w:type="spellStart"/>
      <w:r w:rsidRPr="00F35664">
        <w:rPr>
          <w:rFonts w:asciiTheme="minorHAnsi" w:hAnsiTheme="minorHAnsi" w:cstheme="minorBidi"/>
        </w:rPr>
        <w:t>Internal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Manual</w:t>
      </w:r>
      <w:proofErr w:type="spellEnd"/>
      <w:r w:rsidRPr="00F35664">
        <w:rPr>
          <w:rFonts w:asciiTheme="minorHAnsi" w:hAnsiTheme="minorHAnsi" w:cstheme="minorBidi"/>
        </w:rPr>
        <w:t xml:space="preserve">" </w:t>
      </w:r>
      <w:proofErr w:type="spellStart"/>
      <w:r w:rsidR="00092DDD" w:rsidRPr="00092DDD">
        <w:rPr>
          <w:rFonts w:asciiTheme="minorHAnsi" w:hAnsiTheme="minorHAnsi" w:cstheme="minorBidi"/>
        </w:rPr>
        <w:t>which</w:t>
      </w:r>
      <w:proofErr w:type="spellEnd"/>
      <w:r w:rsidR="00092DDD" w:rsidRPr="00092DDD">
        <w:rPr>
          <w:rFonts w:asciiTheme="minorHAnsi" w:hAnsiTheme="minorHAnsi" w:cstheme="minorBidi"/>
        </w:rPr>
        <w:t xml:space="preserve"> </w:t>
      </w:r>
      <w:proofErr w:type="spellStart"/>
      <w:r w:rsidR="00092DDD" w:rsidRPr="00092DDD">
        <w:rPr>
          <w:rFonts w:asciiTheme="minorHAnsi" w:hAnsiTheme="minorHAnsi" w:cstheme="minorBidi"/>
        </w:rPr>
        <w:t>was</w:t>
      </w:r>
      <w:proofErr w:type="spellEnd"/>
      <w:r w:rsidR="00092DDD" w:rsidRPr="00092DDD">
        <w:rPr>
          <w:rFonts w:asciiTheme="minorHAnsi" w:hAnsiTheme="minorHAnsi" w:cstheme="minorBidi"/>
        </w:rPr>
        <w:t xml:space="preserve"> </w:t>
      </w:r>
      <w:proofErr w:type="spellStart"/>
      <w:r w:rsidR="00092DDD" w:rsidRPr="00092DDD">
        <w:rPr>
          <w:rFonts w:asciiTheme="minorHAnsi" w:hAnsiTheme="minorHAnsi" w:cstheme="minorBidi"/>
        </w:rPr>
        <w:t>created</w:t>
      </w:r>
      <w:proofErr w:type="spellEnd"/>
      <w:r w:rsidR="00092DDD" w:rsidRPr="00092DDD">
        <w:rPr>
          <w:rFonts w:asciiTheme="minorHAnsi" w:hAnsiTheme="minorHAnsi" w:cstheme="minorBidi"/>
        </w:rPr>
        <w:t xml:space="preserve"> by Owner of the </w:t>
      </w:r>
      <w:proofErr w:type="spellStart"/>
      <w:r w:rsidR="00092DDD" w:rsidRPr="00092DDD">
        <w:rPr>
          <w:rFonts w:asciiTheme="minorHAnsi" w:hAnsiTheme="minorHAnsi" w:cstheme="minorBidi"/>
        </w:rPr>
        <w:t>component</w:t>
      </w:r>
      <w:proofErr w:type="spellEnd"/>
      <w:r w:rsidRPr="00F35664">
        <w:rPr>
          <w:rFonts w:asciiTheme="minorHAnsi" w:hAnsiTheme="minorHAnsi" w:cstheme="minorBidi"/>
        </w:rPr>
        <w:t xml:space="preserve">. </w:t>
      </w:r>
      <w:proofErr w:type="spellStart"/>
      <w:r w:rsidRPr="00F35664">
        <w:rPr>
          <w:rFonts w:asciiTheme="minorHAnsi" w:hAnsiTheme="minorHAnsi" w:cstheme="minorBidi"/>
        </w:rPr>
        <w:t>Component</w:t>
      </w:r>
      <w:proofErr w:type="spellEnd"/>
      <w:r w:rsidRPr="00F35664">
        <w:rPr>
          <w:rFonts w:asciiTheme="minorHAnsi" w:hAnsiTheme="minorHAnsi" w:cstheme="minorBidi"/>
        </w:rPr>
        <w:t xml:space="preserve"> 1.7 </w:t>
      </w:r>
      <w:proofErr w:type="spellStart"/>
      <w:r w:rsidRPr="00F35664">
        <w:rPr>
          <w:rFonts w:asciiTheme="minorHAnsi" w:hAnsiTheme="minorHAnsi" w:cstheme="minorBidi"/>
        </w:rPr>
        <w:t>does</w:t>
      </w:r>
      <w:proofErr w:type="spellEnd"/>
      <w:r w:rsidRPr="00F35664">
        <w:rPr>
          <w:rFonts w:asciiTheme="minorHAnsi" w:hAnsiTheme="minorHAnsi" w:cstheme="minorBidi"/>
        </w:rPr>
        <w:t xml:space="preserve"> not </w:t>
      </w:r>
      <w:proofErr w:type="spellStart"/>
      <w:r w:rsidRPr="00F35664">
        <w:rPr>
          <w:rFonts w:asciiTheme="minorHAnsi" w:hAnsiTheme="minorHAnsi" w:cstheme="minorBidi"/>
        </w:rPr>
        <w:t>include</w:t>
      </w:r>
      <w:proofErr w:type="spellEnd"/>
      <w:r w:rsidRPr="00F35664">
        <w:rPr>
          <w:rFonts w:asciiTheme="minorHAnsi" w:hAnsiTheme="minorHAnsi" w:cstheme="minorBidi"/>
        </w:rPr>
        <w:t xml:space="preserve"> any </w:t>
      </w:r>
      <w:proofErr w:type="spellStart"/>
      <w:r w:rsidRPr="00F35664">
        <w:rPr>
          <w:rFonts w:asciiTheme="minorHAnsi" w:hAnsiTheme="minorHAnsi" w:cstheme="minorBidi"/>
        </w:rPr>
        <w:t>reforms</w:t>
      </w:r>
      <w:proofErr w:type="spellEnd"/>
      <w:r w:rsidRPr="00F35664">
        <w:rPr>
          <w:rFonts w:asciiTheme="minorHAnsi" w:hAnsiTheme="minorHAnsi" w:cstheme="minorBidi"/>
        </w:rPr>
        <w:t xml:space="preserve"> and </w:t>
      </w:r>
      <w:proofErr w:type="spellStart"/>
      <w:r w:rsidRPr="00F35664">
        <w:rPr>
          <w:rFonts w:asciiTheme="minorHAnsi" w:hAnsiTheme="minorHAnsi" w:cstheme="minorBidi"/>
        </w:rPr>
        <w:t>investments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with</w:t>
      </w:r>
      <w:proofErr w:type="spellEnd"/>
      <w:r w:rsidRPr="00F35664">
        <w:rPr>
          <w:rFonts w:asciiTheme="minorHAnsi" w:hAnsiTheme="minorHAnsi" w:cstheme="minorBidi"/>
        </w:rPr>
        <w:t xml:space="preserve"> a positive </w:t>
      </w:r>
      <w:proofErr w:type="spellStart"/>
      <w:r w:rsidRPr="00F35664">
        <w:rPr>
          <w:rFonts w:asciiTheme="minorHAnsi" w:hAnsiTheme="minorHAnsi" w:cstheme="minorBidi"/>
        </w:rPr>
        <w:t>climate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coefficient</w:t>
      </w:r>
      <w:proofErr w:type="spellEnd"/>
      <w:r w:rsidRPr="00F35664">
        <w:rPr>
          <w:rFonts w:asciiTheme="minorHAnsi" w:hAnsiTheme="minorHAnsi" w:cstheme="minorBidi"/>
        </w:rPr>
        <w:t xml:space="preserve">. </w:t>
      </w:r>
      <w:proofErr w:type="spellStart"/>
      <w:r w:rsidRPr="00F35664">
        <w:rPr>
          <w:rFonts w:asciiTheme="minorHAnsi" w:hAnsiTheme="minorHAnsi" w:cstheme="minorBidi"/>
        </w:rPr>
        <w:t>For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this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reason</w:t>
      </w:r>
      <w:proofErr w:type="spellEnd"/>
      <w:r w:rsidRPr="00F35664">
        <w:rPr>
          <w:rFonts w:asciiTheme="minorHAnsi" w:hAnsiTheme="minorHAnsi" w:cstheme="minorBidi"/>
        </w:rPr>
        <w:t xml:space="preserve">, the </w:t>
      </w:r>
      <w:proofErr w:type="spellStart"/>
      <w:r w:rsidRPr="00F35664">
        <w:rPr>
          <w:rFonts w:asciiTheme="minorHAnsi" w:hAnsiTheme="minorHAnsi" w:cstheme="minorBidi"/>
        </w:rPr>
        <w:t>current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aggregate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amount</w:t>
      </w:r>
      <w:proofErr w:type="spellEnd"/>
      <w:r w:rsidRPr="00F35664">
        <w:rPr>
          <w:rFonts w:asciiTheme="minorHAnsi" w:hAnsiTheme="minorHAnsi" w:cstheme="minorBidi"/>
        </w:rPr>
        <w:t xml:space="preserve"> of </w:t>
      </w:r>
      <w:proofErr w:type="spellStart"/>
      <w:r w:rsidRPr="00F35664">
        <w:rPr>
          <w:rFonts w:asciiTheme="minorHAnsi" w:hAnsiTheme="minorHAnsi" w:cstheme="minorBidi"/>
        </w:rPr>
        <w:t>actual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expenses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="00832A3B" w:rsidRPr="00832A3B">
        <w:rPr>
          <w:rFonts w:asciiTheme="minorHAnsi" w:hAnsiTheme="minorHAnsi" w:cstheme="minorBidi"/>
        </w:rPr>
        <w:t>according</w:t>
      </w:r>
      <w:proofErr w:type="spellEnd"/>
      <w:r w:rsidR="00832A3B" w:rsidRPr="00832A3B">
        <w:rPr>
          <w:rFonts w:asciiTheme="minorHAnsi" w:hAnsiTheme="minorHAnsi" w:cstheme="minorBidi"/>
        </w:rPr>
        <w:t xml:space="preserve"> to </w:t>
      </w:r>
      <w:proofErr w:type="spellStart"/>
      <w:r w:rsidR="00832A3B" w:rsidRPr="00832A3B">
        <w:rPr>
          <w:rFonts w:asciiTheme="minorHAnsi" w:hAnsiTheme="minorHAnsi" w:cstheme="minorBidi"/>
        </w:rPr>
        <w:t>Annex</w:t>
      </w:r>
      <w:proofErr w:type="spellEnd"/>
      <w:r w:rsidR="00832A3B" w:rsidRPr="00832A3B">
        <w:rPr>
          <w:rFonts w:asciiTheme="minorHAnsi" w:hAnsiTheme="minorHAnsi" w:cstheme="minorBidi"/>
        </w:rPr>
        <w:t xml:space="preserve"> VI </w:t>
      </w:r>
      <w:proofErr w:type="spellStart"/>
      <w:r w:rsidR="00832A3B" w:rsidRPr="00832A3B">
        <w:rPr>
          <w:rFonts w:asciiTheme="minorHAnsi" w:hAnsiTheme="minorHAnsi" w:cstheme="minorBidi"/>
        </w:rPr>
        <w:t>Regulation</w:t>
      </w:r>
      <w:proofErr w:type="spellEnd"/>
      <w:r w:rsidR="00832A3B" w:rsidRPr="00832A3B">
        <w:rPr>
          <w:rFonts w:asciiTheme="minorHAnsi" w:hAnsiTheme="minorHAnsi" w:cstheme="minorBidi"/>
        </w:rPr>
        <w:t xml:space="preserve"> 2021/241 </w:t>
      </w:r>
      <w:r w:rsidRPr="00F35664">
        <w:rPr>
          <w:rFonts w:asciiTheme="minorHAnsi" w:hAnsiTheme="minorHAnsi" w:cstheme="minorBidi"/>
        </w:rPr>
        <w:t>(</w:t>
      </w:r>
      <w:proofErr w:type="spellStart"/>
      <w:r w:rsidRPr="00F35664">
        <w:rPr>
          <w:rFonts w:asciiTheme="minorHAnsi" w:hAnsiTheme="minorHAnsi" w:cstheme="minorBidi"/>
        </w:rPr>
        <w:t>This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is</w:t>
      </w:r>
      <w:proofErr w:type="spellEnd"/>
      <w:r w:rsidRPr="00F35664">
        <w:rPr>
          <w:rFonts w:asciiTheme="minorHAnsi" w:hAnsiTheme="minorHAnsi" w:cstheme="minorBidi"/>
        </w:rPr>
        <w:t xml:space="preserve"> not a </w:t>
      </w:r>
      <w:proofErr w:type="spellStart"/>
      <w:r w:rsidRPr="00F35664">
        <w:rPr>
          <w:rFonts w:asciiTheme="minorHAnsi" w:hAnsiTheme="minorHAnsi" w:cstheme="minorBidi"/>
        </w:rPr>
        <w:t>measure</w:t>
      </w:r>
      <w:proofErr w:type="spellEnd"/>
      <w:r w:rsidRPr="00F35664">
        <w:rPr>
          <w:rFonts w:asciiTheme="minorHAnsi" w:hAnsiTheme="minorHAnsi" w:cstheme="minorBidi"/>
        </w:rPr>
        <w:t xml:space="preserve"> meeting the </w:t>
      </w:r>
      <w:proofErr w:type="spellStart"/>
      <w:r w:rsidRPr="00F35664">
        <w:rPr>
          <w:rFonts w:asciiTheme="minorHAnsi" w:hAnsiTheme="minorHAnsi" w:cstheme="minorBidi"/>
        </w:rPr>
        <w:t>climate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coefficient</w:t>
      </w:r>
      <w:proofErr w:type="spellEnd"/>
      <w:r w:rsidRPr="00F35664">
        <w:rPr>
          <w:rFonts w:asciiTheme="minorHAnsi" w:hAnsiTheme="minorHAnsi" w:cstheme="minorBidi"/>
        </w:rPr>
        <w:t>)</w:t>
      </w:r>
      <w:r w:rsidR="009435CE" w:rsidRPr="009435CE">
        <w:t xml:space="preserve"> </w:t>
      </w:r>
      <w:proofErr w:type="spellStart"/>
      <w:r w:rsidR="009435CE" w:rsidRPr="009435CE">
        <w:rPr>
          <w:rFonts w:asciiTheme="minorHAnsi" w:hAnsiTheme="minorHAnsi" w:cstheme="minorBidi"/>
        </w:rPr>
        <w:t>will</w:t>
      </w:r>
      <w:proofErr w:type="spellEnd"/>
      <w:r w:rsidR="009435CE" w:rsidRPr="009435CE">
        <w:rPr>
          <w:rFonts w:asciiTheme="minorHAnsi" w:hAnsiTheme="minorHAnsi" w:cstheme="minorBidi"/>
        </w:rPr>
        <w:t xml:space="preserve"> not </w:t>
      </w:r>
      <w:proofErr w:type="spellStart"/>
      <w:r w:rsidR="009435CE" w:rsidRPr="009435CE">
        <w:rPr>
          <w:rFonts w:asciiTheme="minorHAnsi" w:hAnsiTheme="minorHAnsi" w:cstheme="minorBidi"/>
        </w:rPr>
        <w:t>be</w:t>
      </w:r>
      <w:proofErr w:type="spellEnd"/>
      <w:r w:rsidR="009435CE" w:rsidRPr="009435CE">
        <w:rPr>
          <w:rFonts w:asciiTheme="minorHAnsi" w:hAnsiTheme="minorHAnsi" w:cstheme="minorBidi"/>
        </w:rPr>
        <w:t xml:space="preserve"> </w:t>
      </w:r>
      <w:proofErr w:type="spellStart"/>
      <w:proofErr w:type="gramStart"/>
      <w:r w:rsidR="009435CE" w:rsidRPr="009435CE">
        <w:rPr>
          <w:rFonts w:asciiTheme="minorHAnsi" w:hAnsiTheme="minorHAnsi" w:cstheme="minorBidi"/>
        </w:rPr>
        <w:t>reported</w:t>
      </w:r>
      <w:proofErr w:type="spellEnd"/>
      <w:r w:rsidR="009435CE">
        <w:rPr>
          <w:rFonts w:asciiTheme="minorHAnsi" w:hAnsiTheme="minorHAnsi" w:cstheme="minorBidi"/>
        </w:rPr>
        <w:t xml:space="preserve"> </w:t>
      </w:r>
      <w:r w:rsidRPr="00F35664">
        <w:rPr>
          <w:rFonts w:asciiTheme="minorHAnsi" w:hAnsiTheme="minorHAnsi" w:cstheme="minorBidi"/>
        </w:rPr>
        <w:t>.</w:t>
      </w:r>
      <w:proofErr w:type="gramEnd"/>
      <w:r w:rsidRPr="00F35664">
        <w:rPr>
          <w:rFonts w:asciiTheme="minorHAnsi" w:hAnsiTheme="minorHAnsi" w:cstheme="minorBidi"/>
        </w:rPr>
        <w:t xml:space="preserve"> </w:t>
      </w:r>
      <w:r w:rsidR="00123E53" w:rsidRPr="00123E53">
        <w:rPr>
          <w:rFonts w:asciiTheme="minorHAnsi" w:hAnsiTheme="minorHAnsi" w:cstheme="minorBidi"/>
        </w:rPr>
        <w:t xml:space="preserve">As part of the report </w:t>
      </w:r>
      <w:proofErr w:type="spellStart"/>
      <w:r w:rsidRPr="00F35664">
        <w:rPr>
          <w:rFonts w:asciiTheme="minorHAnsi" w:hAnsiTheme="minorHAnsi" w:cstheme="minorBidi"/>
        </w:rPr>
        <w:t>sheet</w:t>
      </w:r>
      <w:proofErr w:type="spellEnd"/>
      <w:r w:rsidRPr="00F35664">
        <w:rPr>
          <w:rFonts w:asciiTheme="minorHAnsi" w:hAnsiTheme="minorHAnsi" w:cstheme="minorBidi"/>
        </w:rPr>
        <w:t xml:space="preserve">, </w:t>
      </w:r>
      <w:proofErr w:type="spellStart"/>
      <w:r w:rsidRPr="00F35664">
        <w:rPr>
          <w:rFonts w:asciiTheme="minorHAnsi" w:hAnsiTheme="minorHAnsi" w:cstheme="minorBidi"/>
        </w:rPr>
        <w:t>it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is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stated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that</w:t>
      </w:r>
      <w:proofErr w:type="spellEnd"/>
      <w:r w:rsidRPr="00F35664">
        <w:rPr>
          <w:rFonts w:asciiTheme="minorHAnsi" w:hAnsiTheme="minorHAnsi" w:cstheme="minorBidi"/>
        </w:rPr>
        <w:t xml:space="preserve"> as part of the </w:t>
      </w:r>
      <w:proofErr w:type="spellStart"/>
      <w:r w:rsidRPr="00F35664">
        <w:rPr>
          <w:rFonts w:asciiTheme="minorHAnsi" w:hAnsiTheme="minorHAnsi" w:cstheme="minorBidi"/>
        </w:rPr>
        <w:t>setting</w:t>
      </w:r>
      <w:proofErr w:type="spellEnd"/>
      <w:r w:rsidRPr="00F35664">
        <w:rPr>
          <w:rFonts w:asciiTheme="minorHAnsi" w:hAnsiTheme="minorHAnsi" w:cstheme="minorBidi"/>
        </w:rPr>
        <w:t xml:space="preserve"> and </w:t>
      </w:r>
      <w:proofErr w:type="spellStart"/>
      <w:r w:rsidRPr="00F35664">
        <w:rPr>
          <w:rFonts w:asciiTheme="minorHAnsi" w:hAnsiTheme="minorHAnsi" w:cstheme="minorBidi"/>
        </w:rPr>
        <w:t>preparation</w:t>
      </w:r>
      <w:proofErr w:type="spellEnd"/>
      <w:r w:rsidRPr="00F35664">
        <w:rPr>
          <w:rFonts w:asciiTheme="minorHAnsi" w:hAnsiTheme="minorHAnsi" w:cstheme="minorBidi"/>
        </w:rPr>
        <w:t xml:space="preserve"> of the </w:t>
      </w:r>
      <w:proofErr w:type="spellStart"/>
      <w:r w:rsidRPr="00F35664">
        <w:rPr>
          <w:rFonts w:asciiTheme="minorHAnsi" w:hAnsiTheme="minorHAnsi" w:cstheme="minorBidi"/>
        </w:rPr>
        <w:t>National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Recovery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Plan</w:t>
      </w:r>
      <w:proofErr w:type="spellEnd"/>
      <w:r w:rsidRPr="00F35664">
        <w:rPr>
          <w:rFonts w:asciiTheme="minorHAnsi" w:hAnsiTheme="minorHAnsi" w:cstheme="minorBidi"/>
        </w:rPr>
        <w:t xml:space="preserve">, the </w:t>
      </w:r>
      <w:proofErr w:type="spellStart"/>
      <w:r w:rsidRPr="00F35664">
        <w:rPr>
          <w:rFonts w:asciiTheme="minorHAnsi" w:hAnsiTheme="minorHAnsi" w:cstheme="minorBidi"/>
        </w:rPr>
        <w:t>impact</w:t>
      </w:r>
      <w:proofErr w:type="spellEnd"/>
      <w:r w:rsidRPr="00F35664">
        <w:rPr>
          <w:rFonts w:asciiTheme="minorHAnsi" w:hAnsiTheme="minorHAnsi" w:cstheme="minorBidi"/>
        </w:rPr>
        <w:t xml:space="preserve"> of the </w:t>
      </w:r>
      <w:proofErr w:type="spellStart"/>
      <w:r w:rsidRPr="00F35664">
        <w:rPr>
          <w:rFonts w:asciiTheme="minorHAnsi" w:hAnsiTheme="minorHAnsi" w:cstheme="minorBidi"/>
        </w:rPr>
        <w:t>component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owned</w:t>
      </w:r>
      <w:proofErr w:type="spellEnd"/>
      <w:r w:rsidRPr="00F35664">
        <w:rPr>
          <w:rFonts w:asciiTheme="minorHAnsi" w:hAnsiTheme="minorHAnsi" w:cstheme="minorBidi"/>
        </w:rPr>
        <w:t xml:space="preserve"> by the Digital and Information </w:t>
      </w:r>
      <w:proofErr w:type="spellStart"/>
      <w:r w:rsidRPr="00F35664">
        <w:rPr>
          <w:rFonts w:asciiTheme="minorHAnsi" w:hAnsiTheme="minorHAnsi" w:cstheme="minorBidi"/>
        </w:rPr>
        <w:t>Agency</w:t>
      </w:r>
      <w:proofErr w:type="spellEnd"/>
      <w:r w:rsidRPr="00F35664">
        <w:rPr>
          <w:rFonts w:asciiTheme="minorHAnsi" w:hAnsiTheme="minorHAnsi" w:cstheme="minorBidi"/>
        </w:rPr>
        <w:t xml:space="preserve"> on the </w:t>
      </w:r>
      <w:proofErr w:type="spellStart"/>
      <w:r w:rsidRPr="00F35664">
        <w:rPr>
          <w:rFonts w:asciiTheme="minorHAnsi" w:hAnsiTheme="minorHAnsi" w:cstheme="minorBidi"/>
        </w:rPr>
        <w:t>climate</w:t>
      </w:r>
      <w:proofErr w:type="spellEnd"/>
      <w:r w:rsidRPr="00F35664">
        <w:rPr>
          <w:rFonts w:asciiTheme="minorHAnsi" w:hAnsiTheme="minorHAnsi" w:cstheme="minorBidi"/>
        </w:rPr>
        <w:t xml:space="preserve"> and the environment </w:t>
      </w:r>
      <w:proofErr w:type="spellStart"/>
      <w:r w:rsidRPr="00F35664">
        <w:rPr>
          <w:rFonts w:asciiTheme="minorHAnsi" w:hAnsiTheme="minorHAnsi" w:cstheme="minorBidi"/>
        </w:rPr>
        <w:t>was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="006155F3" w:rsidRPr="006155F3">
        <w:rPr>
          <w:rFonts w:asciiTheme="minorHAnsi" w:hAnsiTheme="minorHAnsi" w:cstheme="minorBidi"/>
        </w:rPr>
        <w:t>assessed</w:t>
      </w:r>
      <w:proofErr w:type="spellEnd"/>
      <w:r w:rsidR="006155F3" w:rsidRPr="006155F3">
        <w:rPr>
          <w:rFonts w:asciiTheme="minorHAnsi" w:hAnsiTheme="minorHAnsi" w:cstheme="minorBidi"/>
        </w:rPr>
        <w:t xml:space="preserve"> </w:t>
      </w:r>
      <w:r w:rsidRPr="00F35664">
        <w:rPr>
          <w:rFonts w:asciiTheme="minorHAnsi" w:hAnsiTheme="minorHAnsi" w:cstheme="minorBidi"/>
        </w:rPr>
        <w:t xml:space="preserve">as </w:t>
      </w:r>
      <w:proofErr w:type="spellStart"/>
      <w:r w:rsidRPr="00F35664">
        <w:rPr>
          <w:rFonts w:asciiTheme="minorHAnsi" w:hAnsiTheme="minorHAnsi" w:cstheme="minorBidi"/>
        </w:rPr>
        <w:t>minimal</w:t>
      </w:r>
      <w:proofErr w:type="spellEnd"/>
      <w:r w:rsidR="0073220D" w:rsidRPr="0073220D">
        <w:t xml:space="preserve"> </w:t>
      </w:r>
      <w:r w:rsidR="0073220D" w:rsidRPr="0073220D">
        <w:rPr>
          <w:rFonts w:asciiTheme="minorHAnsi" w:hAnsiTheme="minorHAnsi" w:cstheme="minorBidi"/>
        </w:rPr>
        <w:t xml:space="preserve">and the </w:t>
      </w:r>
      <w:proofErr w:type="spellStart"/>
      <w:r w:rsidR="0073220D" w:rsidRPr="0073220D">
        <w:rPr>
          <w:rFonts w:asciiTheme="minorHAnsi" w:hAnsiTheme="minorHAnsi" w:cstheme="minorBidi"/>
        </w:rPr>
        <w:t>Council</w:t>
      </w:r>
      <w:proofErr w:type="spellEnd"/>
      <w:r w:rsidR="0073220D" w:rsidRPr="0073220D">
        <w:rPr>
          <w:rFonts w:asciiTheme="minorHAnsi" w:hAnsiTheme="minorHAnsi" w:cstheme="minorBidi"/>
        </w:rPr>
        <w:t xml:space="preserve"> </w:t>
      </w:r>
      <w:proofErr w:type="spellStart"/>
      <w:r w:rsidR="0073220D" w:rsidRPr="0073220D">
        <w:rPr>
          <w:rFonts w:asciiTheme="minorHAnsi" w:hAnsiTheme="minorHAnsi" w:cstheme="minorBidi"/>
        </w:rPr>
        <w:t>Implementing</w:t>
      </w:r>
      <w:proofErr w:type="spellEnd"/>
      <w:r w:rsidR="0073220D" w:rsidRPr="0073220D">
        <w:rPr>
          <w:rFonts w:asciiTheme="minorHAnsi" w:hAnsiTheme="minorHAnsi" w:cstheme="minorBidi"/>
        </w:rPr>
        <w:t xml:space="preserve"> </w:t>
      </w:r>
      <w:proofErr w:type="spellStart"/>
      <w:r w:rsidR="0073220D" w:rsidRPr="0073220D">
        <w:rPr>
          <w:rFonts w:asciiTheme="minorHAnsi" w:hAnsiTheme="minorHAnsi" w:cstheme="minorBidi"/>
        </w:rPr>
        <w:t>Decision</w:t>
      </w:r>
      <w:proofErr w:type="spellEnd"/>
      <w:r w:rsidR="0073220D" w:rsidRPr="0073220D">
        <w:rPr>
          <w:rFonts w:asciiTheme="minorHAnsi" w:hAnsiTheme="minorHAnsi" w:cstheme="minorBidi"/>
        </w:rPr>
        <w:t xml:space="preserve"> </w:t>
      </w:r>
      <w:proofErr w:type="spellStart"/>
      <w:r w:rsidR="0073220D" w:rsidRPr="0073220D">
        <w:rPr>
          <w:rFonts w:asciiTheme="minorHAnsi" w:hAnsiTheme="minorHAnsi" w:cstheme="minorBidi"/>
        </w:rPr>
        <w:t>does</w:t>
      </w:r>
      <w:proofErr w:type="spellEnd"/>
      <w:r w:rsidR="0073220D" w:rsidRPr="0073220D">
        <w:rPr>
          <w:rFonts w:asciiTheme="minorHAnsi" w:hAnsiTheme="minorHAnsi" w:cstheme="minorBidi"/>
        </w:rPr>
        <w:t xml:space="preserve"> not </w:t>
      </w:r>
      <w:proofErr w:type="spellStart"/>
      <w:r w:rsidR="0073220D" w:rsidRPr="0073220D">
        <w:rPr>
          <w:rFonts w:asciiTheme="minorHAnsi" w:hAnsiTheme="minorHAnsi" w:cstheme="minorBidi"/>
        </w:rPr>
        <w:t>establish</w:t>
      </w:r>
      <w:proofErr w:type="spellEnd"/>
      <w:r w:rsidR="0073220D" w:rsidRPr="0073220D">
        <w:rPr>
          <w:rFonts w:asciiTheme="minorHAnsi" w:hAnsiTheme="minorHAnsi" w:cstheme="minorBidi"/>
        </w:rPr>
        <w:t xml:space="preserve"> any </w:t>
      </w:r>
      <w:proofErr w:type="spellStart"/>
      <w:r w:rsidR="0073220D" w:rsidRPr="0073220D">
        <w:rPr>
          <w:rFonts w:asciiTheme="minorHAnsi" w:hAnsiTheme="minorHAnsi" w:cstheme="minorBidi"/>
        </w:rPr>
        <w:t>specific</w:t>
      </w:r>
      <w:proofErr w:type="spellEnd"/>
      <w:r w:rsidR="0073220D" w:rsidRPr="0073220D">
        <w:rPr>
          <w:rFonts w:asciiTheme="minorHAnsi" w:hAnsiTheme="minorHAnsi" w:cstheme="minorBidi"/>
        </w:rPr>
        <w:t xml:space="preserve"> </w:t>
      </w:r>
      <w:proofErr w:type="spellStart"/>
      <w:r w:rsidR="0073220D" w:rsidRPr="0073220D">
        <w:rPr>
          <w:rFonts w:asciiTheme="minorHAnsi" w:hAnsiTheme="minorHAnsi" w:cstheme="minorBidi"/>
        </w:rPr>
        <w:t>conditions</w:t>
      </w:r>
      <w:proofErr w:type="spellEnd"/>
      <w:r w:rsidR="0073220D" w:rsidRPr="0073220D">
        <w:rPr>
          <w:rFonts w:asciiTheme="minorHAnsi" w:hAnsiTheme="minorHAnsi" w:cstheme="minorBidi"/>
        </w:rPr>
        <w:t xml:space="preserve"> </w:t>
      </w:r>
      <w:proofErr w:type="spellStart"/>
      <w:r w:rsidR="0073220D" w:rsidRPr="0073220D">
        <w:rPr>
          <w:rFonts w:asciiTheme="minorHAnsi" w:hAnsiTheme="minorHAnsi" w:cstheme="minorBidi"/>
        </w:rPr>
        <w:t>for</w:t>
      </w:r>
      <w:proofErr w:type="spellEnd"/>
      <w:r w:rsidR="0073220D" w:rsidRPr="0073220D">
        <w:rPr>
          <w:rFonts w:asciiTheme="minorHAnsi" w:hAnsiTheme="minorHAnsi" w:cstheme="minorBidi"/>
        </w:rPr>
        <w:t xml:space="preserve"> the </w:t>
      </w:r>
      <w:proofErr w:type="spellStart"/>
      <w:r w:rsidR="0073220D" w:rsidRPr="0073220D">
        <w:rPr>
          <w:rFonts w:asciiTheme="minorHAnsi" w:hAnsiTheme="minorHAnsi" w:cstheme="minorBidi"/>
        </w:rPr>
        <w:t>components</w:t>
      </w:r>
      <w:proofErr w:type="spellEnd"/>
      <w:r w:rsidR="0073220D" w:rsidRPr="0073220D">
        <w:rPr>
          <w:rFonts w:asciiTheme="minorHAnsi" w:hAnsiTheme="minorHAnsi" w:cstheme="minorBidi"/>
        </w:rPr>
        <w:t xml:space="preserve"> </w:t>
      </w:r>
      <w:proofErr w:type="spellStart"/>
      <w:r w:rsidR="0073220D" w:rsidRPr="0073220D">
        <w:rPr>
          <w:rFonts w:asciiTheme="minorHAnsi" w:hAnsiTheme="minorHAnsi" w:cstheme="minorBidi"/>
        </w:rPr>
        <w:t>owned</w:t>
      </w:r>
      <w:proofErr w:type="spellEnd"/>
      <w:r w:rsidR="0073220D" w:rsidRPr="0073220D">
        <w:rPr>
          <w:rFonts w:asciiTheme="minorHAnsi" w:hAnsiTheme="minorHAnsi" w:cstheme="minorBidi"/>
        </w:rPr>
        <w:t xml:space="preserve"> by the </w:t>
      </w:r>
      <w:r w:rsidRPr="00F35664">
        <w:rPr>
          <w:rFonts w:asciiTheme="minorHAnsi" w:hAnsiTheme="minorHAnsi" w:cstheme="minorBidi"/>
        </w:rPr>
        <w:t xml:space="preserve">Digital and Information </w:t>
      </w:r>
      <w:proofErr w:type="spellStart"/>
      <w:r w:rsidRPr="00F35664">
        <w:rPr>
          <w:rFonts w:asciiTheme="minorHAnsi" w:hAnsiTheme="minorHAnsi" w:cstheme="minorBidi"/>
        </w:rPr>
        <w:t>Agency</w:t>
      </w:r>
      <w:proofErr w:type="spellEnd"/>
      <w:r w:rsidRPr="00F35664">
        <w:rPr>
          <w:rFonts w:asciiTheme="minorHAnsi" w:hAnsiTheme="minorHAnsi" w:cstheme="minorBidi"/>
        </w:rPr>
        <w:t xml:space="preserve"> in </w:t>
      </w:r>
      <w:proofErr w:type="spellStart"/>
      <w:r w:rsidRPr="00F35664">
        <w:rPr>
          <w:rFonts w:asciiTheme="minorHAnsi" w:hAnsiTheme="minorHAnsi" w:cstheme="minorBidi"/>
        </w:rPr>
        <w:t>within</w:t>
      </w:r>
      <w:proofErr w:type="spellEnd"/>
      <w:r w:rsidRPr="00F35664">
        <w:rPr>
          <w:rFonts w:asciiTheme="minorHAnsi" w:hAnsiTheme="minorHAnsi" w:cstheme="minorBidi"/>
        </w:rPr>
        <w:t xml:space="preserve"> DNSH. DNSH </w:t>
      </w:r>
      <w:proofErr w:type="spellStart"/>
      <w:r w:rsidRPr="00F35664">
        <w:rPr>
          <w:rFonts w:asciiTheme="minorHAnsi" w:hAnsiTheme="minorHAnsi" w:cstheme="minorBidi"/>
        </w:rPr>
        <w:t>principles</w:t>
      </w:r>
      <w:proofErr w:type="spellEnd"/>
      <w:r w:rsidRPr="00F35664">
        <w:rPr>
          <w:rFonts w:asciiTheme="minorHAnsi" w:hAnsiTheme="minorHAnsi" w:cstheme="minorBidi"/>
        </w:rPr>
        <w:t xml:space="preserve"> are </w:t>
      </w:r>
      <w:proofErr w:type="spellStart"/>
      <w:r w:rsidRPr="00F35664">
        <w:rPr>
          <w:rFonts w:asciiTheme="minorHAnsi" w:hAnsiTheme="minorHAnsi" w:cstheme="minorBidi"/>
        </w:rPr>
        <w:t>reviewed</w:t>
      </w:r>
      <w:proofErr w:type="spellEnd"/>
      <w:r w:rsidRPr="00F35664">
        <w:rPr>
          <w:rFonts w:asciiTheme="minorHAnsi" w:hAnsiTheme="minorHAnsi" w:cstheme="minorBidi"/>
        </w:rPr>
        <w:t xml:space="preserve"> by the </w:t>
      </w:r>
      <w:proofErr w:type="spellStart"/>
      <w:r w:rsidRPr="00F35664">
        <w:rPr>
          <w:rFonts w:asciiTheme="minorHAnsi" w:hAnsiTheme="minorHAnsi" w:cstheme="minorBidi"/>
        </w:rPr>
        <w:t>component</w:t>
      </w:r>
      <w:proofErr w:type="spellEnd"/>
      <w:r w:rsidRPr="00F35664">
        <w:rPr>
          <w:rFonts w:asciiTheme="minorHAnsi" w:hAnsiTheme="minorHAnsi" w:cstheme="minorBidi"/>
        </w:rPr>
        <w:t xml:space="preserve"> owner </w:t>
      </w:r>
      <w:proofErr w:type="spellStart"/>
      <w:r w:rsidRPr="00F35664">
        <w:rPr>
          <w:rFonts w:asciiTheme="minorHAnsi" w:hAnsiTheme="minorHAnsi" w:cstheme="minorBidi"/>
        </w:rPr>
        <w:t>when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reviewing</w:t>
      </w:r>
      <w:proofErr w:type="spellEnd"/>
      <w:r w:rsidRPr="00F35664">
        <w:rPr>
          <w:rFonts w:asciiTheme="minorHAnsi" w:hAnsiTheme="minorHAnsi" w:cstheme="minorBidi"/>
        </w:rPr>
        <w:t xml:space="preserve"> the Interim Project Report and the </w:t>
      </w:r>
      <w:proofErr w:type="spellStart"/>
      <w:r w:rsidRPr="00F35664">
        <w:rPr>
          <w:rFonts w:asciiTheme="minorHAnsi" w:hAnsiTheme="minorHAnsi" w:cstheme="minorBidi"/>
        </w:rPr>
        <w:t>Final</w:t>
      </w:r>
      <w:proofErr w:type="spellEnd"/>
      <w:r w:rsidRPr="00F35664">
        <w:rPr>
          <w:rFonts w:asciiTheme="minorHAnsi" w:hAnsiTheme="minorHAnsi" w:cstheme="minorBidi"/>
        </w:rPr>
        <w:t xml:space="preserve"> Project Report. The risk </w:t>
      </w:r>
      <w:proofErr w:type="spellStart"/>
      <w:r w:rsidRPr="00F35664">
        <w:rPr>
          <w:rFonts w:asciiTheme="minorHAnsi" w:hAnsiTheme="minorHAnsi" w:cstheme="minorBidi"/>
        </w:rPr>
        <w:t>analysis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analyzes</w:t>
      </w:r>
      <w:proofErr w:type="spellEnd"/>
      <w:r w:rsidRPr="00F35664">
        <w:rPr>
          <w:rFonts w:asciiTheme="minorHAnsi" w:hAnsiTheme="minorHAnsi" w:cstheme="minorBidi"/>
        </w:rPr>
        <w:t xml:space="preserve"> the risk of non-</w:t>
      </w:r>
      <w:proofErr w:type="spellStart"/>
      <w:r w:rsidRPr="00F35664">
        <w:rPr>
          <w:rFonts w:asciiTheme="minorHAnsi" w:hAnsiTheme="minorHAnsi" w:cstheme="minorBidi"/>
        </w:rPr>
        <w:t>compliance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with</w:t>
      </w:r>
      <w:proofErr w:type="spellEnd"/>
      <w:r w:rsidRPr="00F35664">
        <w:rPr>
          <w:rFonts w:asciiTheme="minorHAnsi" w:hAnsiTheme="minorHAnsi" w:cstheme="minorBidi"/>
        </w:rPr>
        <w:t xml:space="preserve"> the DNSH </w:t>
      </w:r>
      <w:proofErr w:type="spellStart"/>
      <w:r w:rsidRPr="00F35664">
        <w:rPr>
          <w:rFonts w:asciiTheme="minorHAnsi" w:hAnsiTheme="minorHAnsi" w:cstheme="minorBidi"/>
        </w:rPr>
        <w:t>principle</w:t>
      </w:r>
      <w:proofErr w:type="spellEnd"/>
      <w:r w:rsidRPr="00F35664">
        <w:rPr>
          <w:rFonts w:asciiTheme="minorHAnsi" w:hAnsiTheme="minorHAnsi" w:cstheme="minorBidi"/>
        </w:rPr>
        <w:t xml:space="preserve">. In the risk </w:t>
      </w:r>
      <w:proofErr w:type="spellStart"/>
      <w:r w:rsidRPr="00F35664">
        <w:rPr>
          <w:rFonts w:asciiTheme="minorHAnsi" w:hAnsiTheme="minorHAnsi" w:cstheme="minorBidi"/>
        </w:rPr>
        <w:t>analysis</w:t>
      </w:r>
      <w:proofErr w:type="spellEnd"/>
      <w:r w:rsidRPr="00F35664">
        <w:rPr>
          <w:rFonts w:asciiTheme="minorHAnsi" w:hAnsiTheme="minorHAnsi" w:cstheme="minorBidi"/>
        </w:rPr>
        <w:t xml:space="preserve">, the </w:t>
      </w:r>
      <w:proofErr w:type="spellStart"/>
      <w:r w:rsidRPr="00F35664">
        <w:rPr>
          <w:rFonts w:asciiTheme="minorHAnsi" w:hAnsiTheme="minorHAnsi" w:cstheme="minorBidi"/>
        </w:rPr>
        <w:t>component</w:t>
      </w:r>
      <w:proofErr w:type="spellEnd"/>
      <w:r w:rsidRPr="00F35664">
        <w:rPr>
          <w:rFonts w:asciiTheme="minorHAnsi" w:hAnsiTheme="minorHAnsi" w:cstheme="minorBidi"/>
        </w:rPr>
        <w:t xml:space="preserve"> owner </w:t>
      </w:r>
      <w:proofErr w:type="spellStart"/>
      <w:r w:rsidRPr="00F35664">
        <w:rPr>
          <w:rFonts w:asciiTheme="minorHAnsi" w:hAnsiTheme="minorHAnsi" w:cstheme="minorBidi"/>
        </w:rPr>
        <w:t>assesses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compliance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with</w:t>
      </w:r>
      <w:proofErr w:type="spellEnd"/>
      <w:r w:rsidRPr="00F35664">
        <w:rPr>
          <w:rFonts w:asciiTheme="minorHAnsi" w:hAnsiTheme="minorHAnsi" w:cstheme="minorBidi"/>
        </w:rPr>
        <w:t xml:space="preserve"> DNSH </w:t>
      </w:r>
      <w:proofErr w:type="spellStart"/>
      <w:r w:rsidRPr="00F35664">
        <w:rPr>
          <w:rFonts w:asciiTheme="minorHAnsi" w:hAnsiTheme="minorHAnsi" w:cstheme="minorBidi"/>
        </w:rPr>
        <w:t>principles</w:t>
      </w:r>
      <w:proofErr w:type="spellEnd"/>
      <w:r w:rsidRPr="00F35664">
        <w:rPr>
          <w:rFonts w:asciiTheme="minorHAnsi" w:hAnsiTheme="minorHAnsi" w:cstheme="minorBidi"/>
        </w:rPr>
        <w:t xml:space="preserve">. </w:t>
      </w:r>
      <w:proofErr w:type="spellStart"/>
      <w:r w:rsidRPr="00F35664">
        <w:rPr>
          <w:rFonts w:asciiTheme="minorHAnsi" w:hAnsiTheme="minorHAnsi" w:cstheme="minorBidi"/>
        </w:rPr>
        <w:t>Furthermore</w:t>
      </w:r>
      <w:proofErr w:type="spellEnd"/>
      <w:r w:rsidRPr="00F35664">
        <w:rPr>
          <w:rFonts w:asciiTheme="minorHAnsi" w:hAnsiTheme="minorHAnsi" w:cstheme="minorBidi"/>
        </w:rPr>
        <w:t xml:space="preserve">, the </w:t>
      </w:r>
      <w:proofErr w:type="spellStart"/>
      <w:r w:rsidRPr="00F35664">
        <w:rPr>
          <w:rFonts w:asciiTheme="minorHAnsi" w:hAnsiTheme="minorHAnsi" w:cstheme="minorBidi"/>
        </w:rPr>
        <w:t>final</w:t>
      </w:r>
      <w:proofErr w:type="spellEnd"/>
      <w:r w:rsidRPr="00F35664">
        <w:rPr>
          <w:rFonts w:asciiTheme="minorHAnsi" w:hAnsiTheme="minorHAnsi" w:cstheme="minorBidi"/>
        </w:rPr>
        <w:t xml:space="preserve"> recipient </w:t>
      </w:r>
      <w:proofErr w:type="spellStart"/>
      <w:r w:rsidRPr="00F35664">
        <w:rPr>
          <w:rFonts w:asciiTheme="minorHAnsi" w:hAnsiTheme="minorHAnsi" w:cstheme="minorBidi"/>
        </w:rPr>
        <w:t>is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obliged</w:t>
      </w:r>
      <w:proofErr w:type="spellEnd"/>
      <w:r w:rsidRPr="00F35664">
        <w:rPr>
          <w:rFonts w:asciiTheme="minorHAnsi" w:hAnsiTheme="minorHAnsi" w:cstheme="minorBidi"/>
        </w:rPr>
        <w:t xml:space="preserve"> to </w:t>
      </w:r>
      <w:proofErr w:type="spellStart"/>
      <w:r w:rsidRPr="00F35664">
        <w:rPr>
          <w:rFonts w:asciiTheme="minorHAnsi" w:hAnsiTheme="minorHAnsi" w:cstheme="minorBidi"/>
        </w:rPr>
        <w:t>comply</w:t>
      </w:r>
      <w:proofErr w:type="spellEnd"/>
      <w:r w:rsidRPr="00F35664">
        <w:rPr>
          <w:rFonts w:asciiTheme="minorHAnsi" w:hAnsiTheme="minorHAnsi" w:cstheme="minorBidi"/>
        </w:rPr>
        <w:t xml:space="preserve"> </w:t>
      </w:r>
      <w:proofErr w:type="spellStart"/>
      <w:r w:rsidRPr="00F35664">
        <w:rPr>
          <w:rFonts w:asciiTheme="minorHAnsi" w:hAnsiTheme="minorHAnsi" w:cstheme="minorBidi"/>
        </w:rPr>
        <w:t>with</w:t>
      </w:r>
      <w:proofErr w:type="spellEnd"/>
      <w:r w:rsidRPr="00F35664">
        <w:rPr>
          <w:rFonts w:asciiTheme="minorHAnsi" w:hAnsiTheme="minorHAnsi" w:cstheme="minorBidi"/>
        </w:rPr>
        <w:t xml:space="preserve"> the </w:t>
      </w:r>
      <w:proofErr w:type="spellStart"/>
      <w:r w:rsidRPr="00F35664">
        <w:rPr>
          <w:rFonts w:asciiTheme="minorHAnsi" w:hAnsiTheme="minorHAnsi" w:cstheme="minorBidi"/>
        </w:rPr>
        <w:t>principles</w:t>
      </w:r>
      <w:proofErr w:type="spellEnd"/>
      <w:r w:rsidRPr="00F35664">
        <w:rPr>
          <w:rFonts w:asciiTheme="minorHAnsi" w:hAnsiTheme="minorHAnsi" w:cstheme="minorBidi"/>
        </w:rPr>
        <w:t xml:space="preserve"> of DNSH in the </w:t>
      </w:r>
      <w:proofErr w:type="spellStart"/>
      <w:r w:rsidRPr="00F35664">
        <w:rPr>
          <w:rFonts w:asciiTheme="minorHAnsi" w:hAnsiTheme="minorHAnsi" w:cstheme="minorBidi"/>
        </w:rPr>
        <w:t>conditions</w:t>
      </w:r>
      <w:proofErr w:type="spellEnd"/>
      <w:r w:rsidRPr="00F35664">
        <w:rPr>
          <w:rFonts w:asciiTheme="minorHAnsi" w:hAnsiTheme="minorHAnsi" w:cstheme="minorBidi"/>
        </w:rPr>
        <w:t xml:space="preserve"> of the </w:t>
      </w:r>
      <w:proofErr w:type="spellStart"/>
      <w:r w:rsidRPr="00F35664">
        <w:rPr>
          <w:rFonts w:asciiTheme="minorHAnsi" w:hAnsiTheme="minorHAnsi" w:cstheme="minorBidi"/>
        </w:rPr>
        <w:t>implementation</w:t>
      </w:r>
      <w:proofErr w:type="spellEnd"/>
      <w:r w:rsidRPr="00F35664">
        <w:rPr>
          <w:rFonts w:asciiTheme="minorHAnsi" w:hAnsiTheme="minorHAnsi" w:cstheme="minorBidi"/>
        </w:rPr>
        <w:t xml:space="preserve"> of the Project.</w:t>
      </w:r>
    </w:p>
    <w:p w14:paraId="536AD843" w14:textId="77777777" w:rsidR="00F35664" w:rsidRPr="004B7A0E" w:rsidRDefault="00F35664">
      <w:pPr>
        <w:rPr>
          <w:rFonts w:asciiTheme="minorHAnsi" w:hAnsiTheme="minorHAnsi" w:cstheme="minorBid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023"/>
        <w:gridCol w:w="5026"/>
      </w:tblGrid>
      <w:tr w:rsidR="00373726" w:rsidRPr="004B7A0E" w14:paraId="30CFF918" w14:textId="77777777" w:rsidTr="004B14A7">
        <w:tc>
          <w:tcPr>
            <w:tcW w:w="1283" w:type="pct"/>
            <w:shd w:val="clear" w:color="auto" w:fill="auto"/>
          </w:tcPr>
          <w:p w14:paraId="651F8072" w14:textId="6076B8ED" w:rsidR="00373726" w:rsidRPr="004B14A7" w:rsidRDefault="00E039F1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858" w:type="pct"/>
            <w:shd w:val="clear" w:color="auto" w:fill="auto"/>
          </w:tcPr>
          <w:p w14:paraId="048F769A" w14:textId="45A13E0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  <w:r w:rsidR="0036184F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  <w:p w14:paraId="0EC5959D" w14:textId="77777777" w:rsidR="00373726" w:rsidRPr="004B14A7" w:rsidRDefault="003737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9" w:type="pct"/>
            <w:shd w:val="clear" w:color="auto" w:fill="auto"/>
          </w:tcPr>
          <w:p w14:paraId="422D4D16" w14:textId="79FEC28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  <w:r w:rsidR="0036184F" w:rsidRPr="004B7A0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  <w:p w14:paraId="5EF3249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3726" w:rsidRPr="004B7A0E" w14:paraId="459C72F5" w14:textId="77777777" w:rsidTr="004B14A7">
        <w:tc>
          <w:tcPr>
            <w:tcW w:w="1283" w:type="pct"/>
            <w:shd w:val="clear" w:color="auto" w:fill="auto"/>
          </w:tcPr>
          <w:p w14:paraId="3593DCB2" w14:textId="5CCD7A2C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Zmírňování změny klimatu </w:t>
            </w:r>
          </w:p>
          <w:p w14:paraId="04865D6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pct"/>
            <w:shd w:val="clear" w:color="auto" w:fill="auto"/>
          </w:tcPr>
          <w:p w14:paraId="31B8F502" w14:textId="3CD2A965" w:rsidR="00373726" w:rsidRPr="004B7A0E" w:rsidRDefault="00AB24E0" w:rsidP="00AB24E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the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the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AB24E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lastRenderedPageBreak/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the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4084E6F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3CEC97AC" w14:textId="77777777" w:rsidTr="004B14A7">
        <w:tc>
          <w:tcPr>
            <w:tcW w:w="1283" w:type="pct"/>
            <w:shd w:val="clear" w:color="auto" w:fill="auto"/>
          </w:tcPr>
          <w:p w14:paraId="1DF2FED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Přizpůsobování se změně klimatu </w:t>
            </w:r>
          </w:p>
        </w:tc>
        <w:tc>
          <w:tcPr>
            <w:tcW w:w="1858" w:type="pct"/>
            <w:shd w:val="clear" w:color="auto" w:fill="auto"/>
          </w:tcPr>
          <w:p w14:paraId="0E265B4A" w14:textId="2FE0FE47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the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the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AB24E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the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4EB97C9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8E2A83F" w14:textId="77777777" w:rsidTr="004B14A7">
        <w:tc>
          <w:tcPr>
            <w:tcW w:w="1283" w:type="pct"/>
            <w:shd w:val="clear" w:color="auto" w:fill="auto"/>
          </w:tcPr>
          <w:p w14:paraId="5B8388E2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858" w:type="pct"/>
            <w:shd w:val="clear" w:color="auto" w:fill="auto"/>
          </w:tcPr>
          <w:p w14:paraId="6027396A" w14:textId="6587A536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the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the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AB24E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the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367530E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0EC36641" w14:textId="77777777" w:rsidTr="004B14A7">
        <w:tc>
          <w:tcPr>
            <w:tcW w:w="1283" w:type="pct"/>
            <w:shd w:val="clear" w:color="auto" w:fill="auto"/>
          </w:tcPr>
          <w:p w14:paraId="3A5D62E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858" w:type="pct"/>
            <w:shd w:val="clear" w:color="auto" w:fill="auto"/>
          </w:tcPr>
          <w:p w14:paraId="2BA85F4F" w14:textId="1FD9E408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the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the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AB24E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the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1252D509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A071A13" w14:textId="77777777" w:rsidTr="004B14A7">
        <w:tc>
          <w:tcPr>
            <w:tcW w:w="1283" w:type="pct"/>
            <w:shd w:val="clear" w:color="auto" w:fill="auto"/>
          </w:tcPr>
          <w:p w14:paraId="793696FD" w14:textId="3D789F3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lastRenderedPageBreak/>
              <w:t>Prevence a omezování znečištění ovzduší, vody nebo půdy</w:t>
            </w:r>
          </w:p>
        </w:tc>
        <w:tc>
          <w:tcPr>
            <w:tcW w:w="1858" w:type="pct"/>
            <w:shd w:val="clear" w:color="auto" w:fill="auto"/>
          </w:tcPr>
          <w:p w14:paraId="3E4B5DC6" w14:textId="050DD177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the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the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AB24E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the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37977F9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1960837D" w14:textId="77777777" w:rsidTr="004B14A7">
        <w:tc>
          <w:tcPr>
            <w:tcW w:w="1283" w:type="pct"/>
            <w:shd w:val="clear" w:color="auto" w:fill="auto"/>
          </w:tcPr>
          <w:p w14:paraId="0D8030A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858" w:type="pct"/>
            <w:shd w:val="clear" w:color="auto" w:fill="auto"/>
          </w:tcPr>
          <w:p w14:paraId="09D76A23" w14:textId="7E296B70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the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the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AB24E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the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the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7362338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</w:tbl>
    <w:p w14:paraId="14B37DA7" w14:textId="766798C9" w:rsidR="00AB24E0" w:rsidRDefault="00AB24E0" w:rsidP="604A64FE">
      <w:pPr>
        <w:rPr>
          <w:rFonts w:asciiTheme="minorHAnsi" w:hAnsiTheme="minorHAnsi" w:cstheme="minorBidi"/>
          <w:i/>
        </w:rPr>
      </w:pPr>
    </w:p>
    <w:p w14:paraId="16E06B8E" w14:textId="4DEDD94B" w:rsidR="00AB24E0" w:rsidRDefault="00AB24E0" w:rsidP="604A64FE">
      <w:pPr>
        <w:jc w:val="both"/>
        <w:rPr>
          <w:rFonts w:asciiTheme="minorHAnsi" w:hAnsiTheme="minorHAnsi" w:cstheme="minorBidi"/>
        </w:rPr>
      </w:pPr>
      <w:r w:rsidRPr="604A64FE">
        <w:rPr>
          <w:rFonts w:asciiTheme="minorHAnsi" w:hAnsiTheme="minorHAnsi" w:cstheme="minorBidi"/>
        </w:rPr>
        <w:t>Potvrzuji, že během realizace projektu byla splněna zásada významně nepoškozovat v rámci Nástroje pro oživení a odolnost ve smyslu čl. 17 Nařízení Evropského parlamentu a Rady (EU) č. 2020/852 ze dne 18. června 2020 o zřízení rámce pro usnadnění udržitelných investic a o změně nařízení (EU) 2019/2088 (tzv. „Nařízení o Taxonomii“).</w:t>
      </w:r>
    </w:p>
    <w:p w14:paraId="3A8AE873" w14:textId="77777777" w:rsidR="00AB24E0" w:rsidRPr="004B7A0E" w:rsidRDefault="00AB24E0" w:rsidP="00AB24E0">
      <w:pPr>
        <w:rPr>
          <w:rFonts w:asciiTheme="minorHAnsi" w:hAnsiTheme="minorHAnsi" w:cstheme="minorHAnsi"/>
        </w:rPr>
      </w:pPr>
    </w:p>
    <w:p w14:paraId="7E0450A6" w14:textId="77777777" w:rsidR="00AB24E0" w:rsidRPr="004B7A0E" w:rsidRDefault="00AB24E0" w:rsidP="00AB24E0">
      <w:pPr>
        <w:rPr>
          <w:rFonts w:asciiTheme="minorHAnsi" w:hAnsiTheme="minorHAnsi" w:cstheme="minorHAnsi"/>
        </w:rPr>
      </w:pPr>
    </w:p>
    <w:p w14:paraId="0696FE73" w14:textId="77777777" w:rsidR="00AB24E0" w:rsidRPr="004B7A0E" w:rsidRDefault="00AB24E0" w:rsidP="00AB24E0">
      <w:pPr>
        <w:tabs>
          <w:tab w:val="left" w:pos="5670"/>
        </w:tabs>
        <w:rPr>
          <w:rFonts w:asciiTheme="minorHAnsi" w:hAnsiTheme="minorHAnsi" w:cstheme="minorHAnsi"/>
        </w:rPr>
      </w:pPr>
      <w:r w:rsidRPr="004B7A0E">
        <w:rPr>
          <w:rFonts w:asciiTheme="minorHAnsi" w:hAnsiTheme="minorHAnsi" w:cstheme="minorHAnsi"/>
        </w:rPr>
        <w:t>V ………… dne</w:t>
      </w:r>
      <w:r>
        <w:rPr>
          <w:rFonts w:asciiTheme="minorHAnsi" w:hAnsiTheme="minorHAnsi" w:cstheme="minorHAnsi"/>
        </w:rPr>
        <w:t xml:space="preserve"> </w:t>
      </w:r>
      <w:r w:rsidRPr="004B7A0E">
        <w:rPr>
          <w:rFonts w:asciiTheme="minorHAnsi" w:hAnsiTheme="minorHAnsi" w:cstheme="minorHAnsi"/>
        </w:rPr>
        <w:t>…….</w:t>
      </w:r>
      <w:r w:rsidRPr="004B7A0E">
        <w:rPr>
          <w:rFonts w:asciiTheme="minorHAnsi" w:hAnsiTheme="minorHAnsi" w:cstheme="minorHAnsi"/>
        </w:rPr>
        <w:tab/>
        <w:t>Podpis</w:t>
      </w:r>
    </w:p>
    <w:p w14:paraId="69AC24EB" w14:textId="77777777" w:rsidR="00AB24E0" w:rsidRPr="004B7A0E" w:rsidRDefault="00AB24E0" w:rsidP="00AB24E0">
      <w:pPr>
        <w:tabs>
          <w:tab w:val="left" w:pos="5670"/>
        </w:tabs>
        <w:rPr>
          <w:rFonts w:asciiTheme="minorHAnsi" w:hAnsiTheme="minorHAnsi" w:cstheme="minorHAnsi"/>
        </w:rPr>
      </w:pPr>
    </w:p>
    <w:p w14:paraId="16245998" w14:textId="336A01D9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6024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893" w:bottom="12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1F92" w14:textId="77777777" w:rsidR="00D7231F" w:rsidRDefault="00D7231F" w:rsidP="00943D8D">
      <w:r>
        <w:separator/>
      </w:r>
    </w:p>
  </w:endnote>
  <w:endnote w:type="continuationSeparator" w:id="0">
    <w:p w14:paraId="105307AE" w14:textId="77777777" w:rsidR="00D7231F" w:rsidRDefault="00D7231F" w:rsidP="00943D8D">
      <w:r>
        <w:continuationSeparator/>
      </w:r>
    </w:p>
  </w:endnote>
  <w:endnote w:type="continuationNotice" w:id="1">
    <w:p w14:paraId="66604D9A" w14:textId="77777777" w:rsidR="0098448A" w:rsidRDefault="00984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68" w14:textId="4354C1F5" w:rsidR="004B7A0E" w:rsidRDefault="004B7A0E" w:rsidP="00795001">
    <w:pPr>
      <w:pStyle w:val="Zpat"/>
    </w:pPr>
  </w:p>
  <w:p w14:paraId="04E22C88" w14:textId="77777777" w:rsidR="00EB7C16" w:rsidRDefault="00EB7C16" w:rsidP="00EB7C1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E3E8" w14:textId="77777777" w:rsidR="007A7B69" w:rsidRDefault="007A7B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A165" w14:textId="77777777" w:rsidR="00D7231F" w:rsidRDefault="00D7231F" w:rsidP="00943D8D">
      <w:r>
        <w:separator/>
      </w:r>
    </w:p>
  </w:footnote>
  <w:footnote w:type="continuationSeparator" w:id="0">
    <w:p w14:paraId="44A6F20E" w14:textId="77777777" w:rsidR="00D7231F" w:rsidRDefault="00D7231F" w:rsidP="00943D8D">
      <w:r>
        <w:continuationSeparator/>
      </w:r>
    </w:p>
  </w:footnote>
  <w:footnote w:type="continuationNotice" w:id="1">
    <w:p w14:paraId="6F001EDB" w14:textId="77777777" w:rsidR="0098448A" w:rsidRDefault="0098448A"/>
  </w:footnote>
  <w:footnote w:id="2">
    <w:p w14:paraId="7BA7EEA1" w14:textId="73C1367D" w:rsidR="0036184F" w:rsidRDefault="0036184F">
      <w:pPr>
        <w:pStyle w:val="Textpoznpodarou"/>
      </w:pPr>
      <w:r>
        <w:rPr>
          <w:rStyle w:val="Znakapoznpodarou"/>
        </w:rPr>
        <w:footnoteRef/>
      </w:r>
      <w:r>
        <w:t xml:space="preserve"> Vyplňuje vlastník komponenty</w:t>
      </w:r>
    </w:p>
  </w:footnote>
  <w:footnote w:id="3">
    <w:p w14:paraId="6D675D87" w14:textId="3BD373E8" w:rsidR="0036184F" w:rsidRDefault="0036184F" w:rsidP="0036184F">
      <w:pPr>
        <w:pStyle w:val="Textpoznpodarou"/>
      </w:pPr>
      <w:r>
        <w:rPr>
          <w:rStyle w:val="Znakapoznpodarou"/>
        </w:rPr>
        <w:footnoteRef/>
      </w:r>
      <w:r>
        <w:t xml:space="preserve"> Vyplňuje subjekt pověřený k reportování, tj. buď vlastník komponenty, nebo ten, který vykonává činnost na opatření (organizační složka státu, státní příspěvková organizace, firma aj.)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7757" w14:textId="77777777" w:rsidR="007A7B69" w:rsidRDefault="007A7B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3CA1" w14:textId="66625B20" w:rsidR="002357FA" w:rsidRDefault="00FE016F" w:rsidP="002357FA">
    <w:pPr>
      <w:pStyle w:val="Zhlav"/>
      <w:ind w:left="708"/>
    </w:pPr>
    <w:r>
      <w:rPr>
        <w:noProof/>
      </w:rPr>
      <w:drawing>
        <wp:anchor distT="0" distB="0" distL="114300" distR="114300" simplePos="0" relativeHeight="251662337" behindDoc="0" locked="0" layoutInCell="1" allowOverlap="1" wp14:anchorId="1C9BA00F" wp14:editId="799EA7BA">
          <wp:simplePos x="0" y="0"/>
          <wp:positionH relativeFrom="margin">
            <wp:posOffset>7475220</wp:posOffset>
          </wp:positionH>
          <wp:positionV relativeFrom="topMargin">
            <wp:posOffset>615950</wp:posOffset>
          </wp:positionV>
          <wp:extent cx="858520" cy="389255"/>
          <wp:effectExtent l="0" t="0" r="0" b="0"/>
          <wp:wrapSquare wrapText="bothSides"/>
          <wp:docPr id="1724973943" name="Obrázek 1724973943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56C"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0289" behindDoc="0" locked="0" layoutInCell="1" allowOverlap="1" wp14:anchorId="366FA419" wp14:editId="3FCC498D">
          <wp:simplePos x="0" y="0"/>
          <wp:positionH relativeFrom="margin">
            <wp:posOffset>33020</wp:posOffset>
          </wp:positionH>
          <wp:positionV relativeFrom="topMargin">
            <wp:posOffset>450850</wp:posOffset>
          </wp:positionV>
          <wp:extent cx="1861185" cy="556260"/>
          <wp:effectExtent l="0" t="0" r="5715" b="0"/>
          <wp:wrapSquare wrapText="bothSides"/>
          <wp:docPr id="2069143999" name="Obrázek 2069143999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56C">
      <w:t xml:space="preserve">                                                 </w:t>
    </w:r>
    <w:r w:rsidR="00A2056C" w:rsidRPr="00325569">
      <w:rPr>
        <w:noProof/>
      </w:rPr>
      <w:drawing>
        <wp:inline distT="0" distB="0" distL="0" distR="0" wp14:anchorId="3D05AA4B" wp14:editId="02E315B9">
          <wp:extent cx="1524000" cy="613647"/>
          <wp:effectExtent l="0" t="0" r="0" b="0"/>
          <wp:docPr id="1061248005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03461" name="Obrázek 1" descr="Obsah obrázku Písmo, symbol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73684" cy="63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AA3B" w14:textId="77777777" w:rsidR="002357FA" w:rsidRPr="002357FA" w:rsidRDefault="002357FA" w:rsidP="002357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F325" w14:textId="3BE6C4F6" w:rsidR="00116ADE" w:rsidRPr="007A7B69" w:rsidRDefault="007A7B69" w:rsidP="004B7A0E">
    <w:pPr>
      <w:pStyle w:val="Zhlav"/>
      <w:ind w:left="708"/>
      <w:rPr>
        <w:i/>
        <w:iCs/>
      </w:rPr>
    </w:pPr>
    <w:r w:rsidRPr="007A7B69">
      <w:rPr>
        <w:i/>
        <w:iCs/>
        <w:noProof/>
      </w:rPr>
      <w:drawing>
        <wp:anchor distT="0" distB="0" distL="114300" distR="114300" simplePos="0" relativeHeight="251658241" behindDoc="0" locked="0" layoutInCell="1" allowOverlap="1" wp14:anchorId="5EC1C1B2" wp14:editId="2AB6CC2B">
          <wp:simplePos x="0" y="0"/>
          <wp:positionH relativeFrom="margin">
            <wp:posOffset>7403465</wp:posOffset>
          </wp:positionH>
          <wp:positionV relativeFrom="topMargin">
            <wp:posOffset>574040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B69">
      <w:rPr>
        <w:rFonts w:cstheme="minorHAnsi"/>
        <w:b/>
        <w:bCs/>
        <w:i/>
        <w:i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1E9C43B" wp14:editId="04E2B60C">
          <wp:simplePos x="0" y="0"/>
          <wp:positionH relativeFrom="margin">
            <wp:posOffset>-5080</wp:posOffset>
          </wp:positionH>
          <wp:positionV relativeFrom="topMargin">
            <wp:posOffset>450850</wp:posOffset>
          </wp:positionV>
          <wp:extent cx="1867535" cy="558800"/>
          <wp:effectExtent l="0" t="0" r="0" b="0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3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B69">
      <w:rPr>
        <w:i/>
        <w:iCs/>
      </w:rPr>
      <w:t xml:space="preserve">                                                  </w:t>
    </w:r>
    <w:r w:rsidRPr="007A7B69">
      <w:rPr>
        <w:i/>
        <w:iCs/>
        <w:noProof/>
      </w:rPr>
      <w:drawing>
        <wp:inline distT="0" distB="0" distL="0" distR="0" wp14:anchorId="58B98D38" wp14:editId="2B133AFE">
          <wp:extent cx="1441450" cy="580408"/>
          <wp:effectExtent l="0" t="0" r="6350" b="0"/>
          <wp:docPr id="1444903461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03461" name="Obrázek 1" descr="Obsah obrázku Písmo, symbol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3730" cy="60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35AD" w:rsidRPr="007A7B69">
      <w:rPr>
        <w:i/>
        <w:iCs/>
      </w:rPr>
      <w:t xml:space="preserve">                                </w:t>
    </w:r>
    <w:r w:rsidR="00BE35AD" w:rsidRPr="007A7B69">
      <w:rPr>
        <w:i/>
        <w:iCs/>
        <w:noProof/>
        <w:lang w:eastAsia="cs-CZ"/>
      </w:rPr>
      <w:t xml:space="preserve">                     </w:t>
    </w:r>
  </w:p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9498"/>
      <w:gridCol w:w="227"/>
    </w:tblGrid>
    <w:tr w:rsidR="00116ADE" w:rsidRPr="00CA28C9" w14:paraId="700CFD5B" w14:textId="77777777" w:rsidTr="00B30812">
      <w:trPr>
        <w:trHeight w:val="988"/>
      </w:trPr>
      <w:tc>
        <w:tcPr>
          <w:tcW w:w="9281" w:type="dxa"/>
        </w:tcPr>
        <w:p w14:paraId="500BC74F" w14:textId="3A2C91A4" w:rsidR="00116ADE" w:rsidRDefault="00116ADE" w:rsidP="00116ADE">
          <w:pPr>
            <w:tabs>
              <w:tab w:val="left" w:pos="1005"/>
            </w:tabs>
          </w:pPr>
          <w:r>
            <w:tab/>
          </w:r>
        </w:p>
        <w:p w14:paraId="6EEA10BE" w14:textId="14893D58" w:rsidR="00116ADE" w:rsidRPr="00665278" w:rsidRDefault="00116ADE" w:rsidP="00116ADE">
          <w:pPr>
            <w:jc w:val="right"/>
          </w:pPr>
        </w:p>
      </w:tc>
      <w:tc>
        <w:tcPr>
          <w:tcW w:w="222" w:type="dxa"/>
          <w:vAlign w:val="center"/>
        </w:tcPr>
        <w:p w14:paraId="24912A35" w14:textId="613AE075" w:rsidR="00116ADE" w:rsidRPr="00CA28C9" w:rsidRDefault="00116ADE" w:rsidP="00116ADE">
          <w:pPr>
            <w:tabs>
              <w:tab w:val="left" w:pos="4175"/>
            </w:tabs>
            <w:jc w:val="center"/>
            <w:rPr>
              <w:b/>
              <w:sz w:val="20"/>
              <w:szCs w:val="20"/>
            </w:rPr>
          </w:pPr>
        </w:p>
      </w:tc>
    </w:tr>
  </w:tbl>
  <w:p w14:paraId="1AB1F618" w14:textId="7EB82368" w:rsidR="004B7A0E" w:rsidRDefault="004B7A0E" w:rsidP="00097942">
    <w:pPr>
      <w:pStyle w:val="Zhlav"/>
      <w:tabs>
        <w:tab w:val="clear" w:pos="4536"/>
        <w:tab w:val="clear" w:pos="9072"/>
        <w:tab w:val="left" w:pos="5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6377">
    <w:abstractNumId w:val="7"/>
  </w:num>
  <w:num w:numId="2" w16cid:durableId="1592008847">
    <w:abstractNumId w:val="1"/>
  </w:num>
  <w:num w:numId="3" w16cid:durableId="622469141">
    <w:abstractNumId w:val="3"/>
  </w:num>
  <w:num w:numId="4" w16cid:durableId="1780097776">
    <w:abstractNumId w:val="11"/>
  </w:num>
  <w:num w:numId="5" w16cid:durableId="393701505">
    <w:abstractNumId w:val="9"/>
  </w:num>
  <w:num w:numId="6" w16cid:durableId="2142727200">
    <w:abstractNumId w:val="8"/>
  </w:num>
  <w:num w:numId="7" w16cid:durableId="793787249">
    <w:abstractNumId w:val="2"/>
  </w:num>
  <w:num w:numId="8" w16cid:durableId="1888687607">
    <w:abstractNumId w:val="10"/>
  </w:num>
  <w:num w:numId="9" w16cid:durableId="1481117378">
    <w:abstractNumId w:val="6"/>
  </w:num>
  <w:num w:numId="10" w16cid:durableId="1604722637">
    <w:abstractNumId w:val="5"/>
  </w:num>
  <w:num w:numId="11" w16cid:durableId="1623534468">
    <w:abstractNumId w:val="4"/>
  </w:num>
  <w:num w:numId="12" w16cid:durableId="18866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10465"/>
    <w:rsid w:val="00092DDD"/>
    <w:rsid w:val="00097942"/>
    <w:rsid w:val="000C727F"/>
    <w:rsid w:val="00116ADE"/>
    <w:rsid w:val="001204D0"/>
    <w:rsid w:val="00123E53"/>
    <w:rsid w:val="00145797"/>
    <w:rsid w:val="001744BC"/>
    <w:rsid w:val="001959A9"/>
    <w:rsid w:val="001A6AF2"/>
    <w:rsid w:val="001B4007"/>
    <w:rsid w:val="001F52C9"/>
    <w:rsid w:val="00206777"/>
    <w:rsid w:val="002357FA"/>
    <w:rsid w:val="002E087F"/>
    <w:rsid w:val="0036184F"/>
    <w:rsid w:val="00373726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75171"/>
    <w:rsid w:val="004B14A7"/>
    <w:rsid w:val="004B7A0E"/>
    <w:rsid w:val="00583E39"/>
    <w:rsid w:val="005965CE"/>
    <w:rsid w:val="005B6DD2"/>
    <w:rsid w:val="00600150"/>
    <w:rsid w:val="0060248A"/>
    <w:rsid w:val="0060400D"/>
    <w:rsid w:val="006155F3"/>
    <w:rsid w:val="006231C2"/>
    <w:rsid w:val="0067565A"/>
    <w:rsid w:val="0068647F"/>
    <w:rsid w:val="006A2F59"/>
    <w:rsid w:val="006D779C"/>
    <w:rsid w:val="0073220D"/>
    <w:rsid w:val="0075161C"/>
    <w:rsid w:val="00790B4F"/>
    <w:rsid w:val="00795001"/>
    <w:rsid w:val="007A7B69"/>
    <w:rsid w:val="007C01D2"/>
    <w:rsid w:val="008020C6"/>
    <w:rsid w:val="00832A3B"/>
    <w:rsid w:val="0087358A"/>
    <w:rsid w:val="00873E57"/>
    <w:rsid w:val="008976F6"/>
    <w:rsid w:val="008A05C6"/>
    <w:rsid w:val="008A5A8D"/>
    <w:rsid w:val="008B0A92"/>
    <w:rsid w:val="008B2945"/>
    <w:rsid w:val="008D398B"/>
    <w:rsid w:val="009211BB"/>
    <w:rsid w:val="00923410"/>
    <w:rsid w:val="00942EE4"/>
    <w:rsid w:val="009435CE"/>
    <w:rsid w:val="00943D8D"/>
    <w:rsid w:val="00947CC1"/>
    <w:rsid w:val="00957FA0"/>
    <w:rsid w:val="009714EA"/>
    <w:rsid w:val="00976B88"/>
    <w:rsid w:val="0098448A"/>
    <w:rsid w:val="009A467F"/>
    <w:rsid w:val="009B4055"/>
    <w:rsid w:val="009C125B"/>
    <w:rsid w:val="009C2B44"/>
    <w:rsid w:val="009D1C35"/>
    <w:rsid w:val="00A2056C"/>
    <w:rsid w:val="00A27804"/>
    <w:rsid w:val="00A31E63"/>
    <w:rsid w:val="00A3791B"/>
    <w:rsid w:val="00A37F0D"/>
    <w:rsid w:val="00A41F4A"/>
    <w:rsid w:val="00A65921"/>
    <w:rsid w:val="00A76AC4"/>
    <w:rsid w:val="00A834E2"/>
    <w:rsid w:val="00A92574"/>
    <w:rsid w:val="00AB24E0"/>
    <w:rsid w:val="00B159EE"/>
    <w:rsid w:val="00B46E2F"/>
    <w:rsid w:val="00B870E0"/>
    <w:rsid w:val="00B87837"/>
    <w:rsid w:val="00BB61A9"/>
    <w:rsid w:val="00BE2AAE"/>
    <w:rsid w:val="00BE35AD"/>
    <w:rsid w:val="00BE5BBC"/>
    <w:rsid w:val="00C11CF4"/>
    <w:rsid w:val="00C25B26"/>
    <w:rsid w:val="00C358F6"/>
    <w:rsid w:val="00C45373"/>
    <w:rsid w:val="00C97075"/>
    <w:rsid w:val="00CB3998"/>
    <w:rsid w:val="00CC002C"/>
    <w:rsid w:val="00CC328B"/>
    <w:rsid w:val="00D60DCD"/>
    <w:rsid w:val="00D7231F"/>
    <w:rsid w:val="00D767A8"/>
    <w:rsid w:val="00DA50D6"/>
    <w:rsid w:val="00DC7DB9"/>
    <w:rsid w:val="00DF1B81"/>
    <w:rsid w:val="00E039F1"/>
    <w:rsid w:val="00E0746D"/>
    <w:rsid w:val="00E273A6"/>
    <w:rsid w:val="00E53D53"/>
    <w:rsid w:val="00E734DB"/>
    <w:rsid w:val="00EB7C16"/>
    <w:rsid w:val="00EC33C7"/>
    <w:rsid w:val="00EC473D"/>
    <w:rsid w:val="00EC5333"/>
    <w:rsid w:val="00F00305"/>
    <w:rsid w:val="00F35664"/>
    <w:rsid w:val="00F76AEA"/>
    <w:rsid w:val="00F967D5"/>
    <w:rsid w:val="00FC4C3C"/>
    <w:rsid w:val="00FD7A3B"/>
    <w:rsid w:val="00FE016F"/>
    <w:rsid w:val="00FF7CA1"/>
    <w:rsid w:val="1CE303B6"/>
    <w:rsid w:val="1E7ED417"/>
    <w:rsid w:val="22666FCD"/>
    <w:rsid w:val="604A64FE"/>
    <w:rsid w:val="6703C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76028D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4BC8A-1CE9-497F-8B03-54BB24F5BD2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16b2cbe-7531-43b4-96c1-e8f7da909d25"/>
    <ds:schemaRef ds:uri="3ff5ae98-e02e-4893-abb9-d380d5b7b6a5"/>
  </ds:schemaRefs>
</ds:datastoreItem>
</file>

<file path=customXml/itemProps2.xml><?xml version="1.0" encoding="utf-8"?>
<ds:datastoreItem xmlns:ds="http://schemas.openxmlformats.org/officeDocument/2006/customXml" ds:itemID="{B96D0DCE-DDC1-4EA1-A0D4-1CACC46A8A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B3020C-9EC0-40E9-BE8A-0DD7DA613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C0DBF-16A9-4A32-B45B-342DB1D52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Bartoňová Hana</cp:lastModifiedBy>
  <cp:revision>2</cp:revision>
  <cp:lastPrinted>2022-05-31T09:45:00Z</cp:lastPrinted>
  <dcterms:created xsi:type="dcterms:W3CDTF">2024-06-06T16:06:00Z</dcterms:created>
  <dcterms:modified xsi:type="dcterms:W3CDTF">2024-06-06T16:06:00Z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2023-11-20T14:51:13Z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7a46ab0b-920b-4b54-a673-7166b7afccde</vt:lpwstr>
  </property>
  <property fmtid="{D5CDD505-2E9C-101B-9397-08002B2CF9AE}" pid="9" name="MSIP_Label_defa4170-0d19-0005-0004-bc88714345d2_ContentBits">
    <vt:lpwstr>0</vt:lpwstr>
  </property>
</Properties>
</file>