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8C3C5" w14:textId="111F00B9" w:rsidR="0094139E" w:rsidRPr="00C14128" w:rsidRDefault="725F14BC">
      <w:pPr>
        <w:pStyle w:val="Nadpis2"/>
        <w:numPr>
          <w:ilvl w:val="0"/>
          <w:numId w:val="0"/>
        </w:numPr>
        <w:jc w:val="both"/>
        <w:rPr>
          <w:rFonts w:asciiTheme="minorHAnsi" w:hAnsiTheme="minorHAnsi" w:cstheme="minorBidi"/>
          <w:b/>
          <w:bCs/>
          <w:sz w:val="24"/>
          <w:szCs w:val="24"/>
        </w:rPr>
      </w:pPr>
      <w:r w:rsidRPr="5104966F">
        <w:rPr>
          <w:rFonts w:asciiTheme="minorHAnsi" w:hAnsiTheme="minorHAnsi" w:cstheme="minorBidi"/>
          <w:b/>
          <w:bCs/>
          <w:sz w:val="24"/>
          <w:szCs w:val="24"/>
        </w:rPr>
        <w:t xml:space="preserve">Stanovení snížených odvodů, které se použijí pro výdaje financované z Národního plánu obnovy, komponenty </w:t>
      </w:r>
      <w:r w:rsidRPr="5104966F">
        <w:rPr>
          <w:rFonts w:asciiTheme="minorHAnsi" w:hAnsiTheme="minorHAnsi" w:cstheme="minorBidi"/>
          <w:b/>
          <w:bCs/>
        </w:rPr>
        <w:t>1.</w:t>
      </w:r>
      <w:r w:rsidR="002F27A3">
        <w:rPr>
          <w:rFonts w:asciiTheme="minorHAnsi" w:hAnsiTheme="minorHAnsi" w:cstheme="minorBidi"/>
          <w:b/>
          <w:bCs/>
        </w:rPr>
        <w:t>7</w:t>
      </w:r>
      <w:r w:rsidRPr="5104966F">
        <w:rPr>
          <w:rFonts w:asciiTheme="minorHAnsi" w:hAnsiTheme="minorHAnsi" w:cstheme="minorBidi"/>
          <w:b/>
          <w:bCs/>
        </w:rPr>
        <w:t xml:space="preserve"> </w:t>
      </w:r>
      <w:r w:rsidRPr="5104966F">
        <w:rPr>
          <w:rFonts w:asciiTheme="minorHAnsi" w:hAnsiTheme="minorHAnsi" w:cstheme="minorBidi"/>
          <w:b/>
          <w:bCs/>
          <w:sz w:val="24"/>
          <w:szCs w:val="24"/>
        </w:rPr>
        <w:t xml:space="preserve">v případě porušení ustanovení Podmínek realizace projektu a porušení povinností při zadávání veřejných zakázek </w:t>
      </w:r>
    </w:p>
    <w:p w14:paraId="0E27B00A" w14:textId="77777777" w:rsidR="0094139E" w:rsidRPr="005D14B7" w:rsidRDefault="0094139E" w:rsidP="0094139E">
      <w:pPr>
        <w:rPr>
          <w:rFonts w:asciiTheme="minorHAnsi" w:hAnsiTheme="minorHAnsi" w:cstheme="minorHAnsi"/>
        </w:rPr>
      </w:pPr>
    </w:p>
    <w:p w14:paraId="10163482" w14:textId="77777777" w:rsidR="0094139E" w:rsidRPr="00C14128" w:rsidRDefault="725F14BC">
      <w:pPr>
        <w:pStyle w:val="Nadpis2"/>
        <w:numPr>
          <w:ilvl w:val="0"/>
          <w:numId w:val="0"/>
        </w:numPr>
        <w:rPr>
          <w:rFonts w:asciiTheme="minorHAnsi" w:hAnsiTheme="minorHAnsi" w:cstheme="minorBidi"/>
          <w:sz w:val="24"/>
          <w:szCs w:val="24"/>
          <w:u w:val="single"/>
        </w:rPr>
      </w:pPr>
      <w:r w:rsidRPr="5104966F">
        <w:rPr>
          <w:rFonts w:asciiTheme="minorHAnsi" w:hAnsiTheme="minorHAnsi" w:cstheme="minorBidi"/>
          <w:sz w:val="24"/>
          <w:szCs w:val="24"/>
          <w:u w:val="single"/>
        </w:rPr>
        <w:t xml:space="preserve">Úvodní ustanovení </w:t>
      </w:r>
    </w:p>
    <w:p w14:paraId="60061E4C" w14:textId="77777777" w:rsidR="0094139E" w:rsidRPr="005D14B7" w:rsidRDefault="0094139E" w:rsidP="0094139E">
      <w:pPr>
        <w:pStyle w:val="Nadpis5"/>
        <w:rPr>
          <w:rFonts w:asciiTheme="minorHAnsi" w:hAnsiTheme="minorHAnsi" w:cstheme="minorHAnsi"/>
          <w:szCs w:val="24"/>
        </w:rPr>
      </w:pPr>
    </w:p>
    <w:p w14:paraId="25B7319D" w14:textId="77777777" w:rsidR="00C82755" w:rsidRPr="00C14128" w:rsidRDefault="0094139E" w:rsidP="00C14128">
      <w:pPr>
        <w:spacing w:after="120"/>
        <w:ind w:right="-2"/>
        <w:jc w:val="both"/>
        <w:rPr>
          <w:rFonts w:asciiTheme="minorHAnsi" w:hAnsiTheme="minorHAnsi" w:cstheme="minorBidi"/>
        </w:rPr>
      </w:pPr>
      <w:r w:rsidRPr="369778C5">
        <w:rPr>
          <w:rFonts w:asciiTheme="minorHAnsi" w:hAnsiTheme="minorHAnsi" w:cstheme="minorBidi"/>
          <w:snapToGrid w:val="0"/>
        </w:rPr>
        <w:t xml:space="preserve">V případě, že dojde k porušení povinností </w:t>
      </w:r>
      <w:r w:rsidR="00ED6B68" w:rsidRPr="369778C5">
        <w:rPr>
          <w:rFonts w:asciiTheme="minorHAnsi" w:hAnsiTheme="minorHAnsi" w:cstheme="minorBidi"/>
          <w:snapToGrid w:val="0"/>
        </w:rPr>
        <w:t>uvedených v podmínkách k právnímu aktu (Podmínky realizace projektu) nebo bude identifikováno pochybení příjemce při zadávání veřejných zakázek</w:t>
      </w:r>
      <w:r w:rsidRPr="369778C5">
        <w:rPr>
          <w:rFonts w:asciiTheme="minorHAnsi" w:hAnsiTheme="minorHAnsi" w:cstheme="minorBidi"/>
          <w:snapToGrid w:val="0"/>
        </w:rPr>
        <w:t xml:space="preserve">, bude </w:t>
      </w:r>
      <w:r w:rsidR="00C82755" w:rsidRPr="369778C5">
        <w:rPr>
          <w:rFonts w:asciiTheme="minorHAnsi" w:hAnsiTheme="minorHAnsi" w:cstheme="minorBidi"/>
          <w:snapToGrid w:val="0"/>
        </w:rPr>
        <w:t>příjemci finanční podpory vyměřen odvod dle této přílohy Pokynu pro příjemce finanční podpory.</w:t>
      </w:r>
      <w:r w:rsidR="00EF6DB2" w:rsidRPr="369778C5">
        <w:rPr>
          <w:rFonts w:asciiTheme="minorHAnsi" w:hAnsiTheme="minorHAnsi" w:cstheme="minorBidi"/>
          <w:snapToGrid w:val="0"/>
        </w:rPr>
        <w:t xml:space="preserve"> </w:t>
      </w:r>
    </w:p>
    <w:p w14:paraId="4056ABF5" w14:textId="15D84AB8" w:rsidR="0094139E" w:rsidRPr="00C14128" w:rsidRDefault="0094139E" w:rsidP="00C14128">
      <w:pPr>
        <w:spacing w:after="120"/>
        <w:ind w:right="-2"/>
        <w:jc w:val="both"/>
        <w:rPr>
          <w:rFonts w:asciiTheme="minorHAnsi" w:hAnsiTheme="minorHAnsi" w:cstheme="minorBidi"/>
        </w:rPr>
      </w:pPr>
      <w:r w:rsidRPr="5104966F">
        <w:rPr>
          <w:rFonts w:asciiTheme="minorHAnsi" w:hAnsiTheme="minorHAnsi" w:cstheme="minorBidi"/>
          <w:snapToGrid w:val="0"/>
        </w:rPr>
        <w:t xml:space="preserve">Pokud je možné přesně vyčíslit finanční dopad identifikovaného porušení, bude výše odvodu </w:t>
      </w:r>
      <w:r w:rsidRPr="005D14B7">
        <w:rPr>
          <w:rFonts w:asciiTheme="minorHAnsi" w:hAnsiTheme="minorHAnsi" w:cstheme="minorHAnsi"/>
          <w:snapToGrid w:val="0"/>
        </w:rPr>
        <w:br/>
      </w:r>
      <w:r w:rsidRPr="5104966F">
        <w:rPr>
          <w:rFonts w:asciiTheme="minorHAnsi" w:hAnsiTheme="minorHAnsi" w:cstheme="minorBidi"/>
          <w:snapToGrid w:val="0"/>
        </w:rPr>
        <w:t xml:space="preserve">za porušení rozpočtové kázně stanovena ve výši vyčísleného finančního dopadu. </w:t>
      </w:r>
    </w:p>
    <w:p w14:paraId="1B6A0534" w14:textId="3D8764EF" w:rsidR="0094139E" w:rsidRPr="00C14128" w:rsidRDefault="0094139E" w:rsidP="00C14128">
      <w:pPr>
        <w:spacing w:after="120"/>
        <w:ind w:right="-2"/>
        <w:jc w:val="both"/>
        <w:rPr>
          <w:rFonts w:asciiTheme="minorHAnsi" w:hAnsiTheme="minorHAnsi" w:cstheme="minorBidi"/>
        </w:rPr>
      </w:pPr>
      <w:r w:rsidRPr="5104966F">
        <w:rPr>
          <w:rFonts w:asciiTheme="minorHAnsi" w:hAnsiTheme="minorHAnsi" w:cstheme="minorBidi"/>
          <w:snapToGrid w:val="0"/>
        </w:rPr>
        <w:t>V případě, že bude identifikováno porušení</w:t>
      </w:r>
      <w:r w:rsidR="00C82755" w:rsidRPr="5104966F">
        <w:rPr>
          <w:rFonts w:asciiTheme="minorHAnsi" w:hAnsiTheme="minorHAnsi" w:cstheme="minorBidi"/>
          <w:snapToGrid w:val="0"/>
        </w:rPr>
        <w:t>/pochybení příjemce finanční podpory</w:t>
      </w:r>
      <w:r w:rsidRPr="5104966F">
        <w:rPr>
          <w:rFonts w:asciiTheme="minorHAnsi" w:hAnsiTheme="minorHAnsi" w:cstheme="minorBidi"/>
          <w:snapToGrid w:val="0"/>
        </w:rPr>
        <w:t>, které nelze podřadit pod konkrétní typ porušení uveden</w:t>
      </w:r>
      <w:r w:rsidR="00377053" w:rsidRPr="5104966F">
        <w:rPr>
          <w:rFonts w:asciiTheme="minorHAnsi" w:hAnsiTheme="minorHAnsi" w:cstheme="minorBidi"/>
          <w:snapToGrid w:val="0"/>
        </w:rPr>
        <w:t>ý</w:t>
      </w:r>
      <w:r w:rsidRPr="5104966F">
        <w:rPr>
          <w:rFonts w:asciiTheme="minorHAnsi" w:hAnsiTheme="minorHAnsi" w:cstheme="minorBidi"/>
          <w:snapToGrid w:val="0"/>
        </w:rPr>
        <w:t xml:space="preserve"> v této Příloze, bude stanoven odvod dle zásady přiměřenosti.</w:t>
      </w:r>
    </w:p>
    <w:p w14:paraId="4B94D5A5" w14:textId="78CCC15A" w:rsidR="004C1FA1" w:rsidRPr="00C14128" w:rsidRDefault="0094139E" w:rsidP="00C14128">
      <w:pPr>
        <w:spacing w:after="120"/>
        <w:ind w:right="-2"/>
        <w:jc w:val="both"/>
        <w:rPr>
          <w:rFonts w:asciiTheme="minorHAnsi" w:hAnsiTheme="minorHAnsi" w:cstheme="minorBidi"/>
        </w:rPr>
      </w:pPr>
      <w:r w:rsidRPr="5104966F">
        <w:rPr>
          <w:rFonts w:asciiTheme="minorHAnsi" w:hAnsiTheme="minorHAnsi" w:cstheme="minorBidi"/>
          <w:snapToGrid w:val="0"/>
        </w:rPr>
        <w:t>V případech, kdy k porušení dochází v důsledku podvodu nebo trestného činu, jež byl zjištěn příslušným soudním orgánem nebo příslušným orgánem EU nebo vnitrostátním orgánem na základě důkazních prvků dokládajících přítomnost podvodných nesrovnalostí, použije se vždy odvod ve výši 100 %</w:t>
      </w:r>
      <w:r w:rsidR="00B54DB6" w:rsidRPr="5104966F">
        <w:rPr>
          <w:rFonts w:asciiTheme="minorHAnsi" w:hAnsiTheme="minorHAnsi" w:cstheme="minorBidi"/>
          <w:snapToGrid w:val="0"/>
        </w:rPr>
        <w:t xml:space="preserve"> </w:t>
      </w:r>
      <w:r w:rsidR="00E6394D" w:rsidRPr="5104966F">
        <w:rPr>
          <w:rFonts w:asciiTheme="minorHAnsi" w:hAnsiTheme="minorHAnsi" w:cstheme="minorBidi"/>
          <w:snapToGrid w:val="0"/>
        </w:rPr>
        <w:t>z celkové částky dotace</w:t>
      </w:r>
      <w:r w:rsidRPr="5104966F">
        <w:rPr>
          <w:rFonts w:asciiTheme="minorHAnsi" w:hAnsiTheme="minorHAnsi" w:cstheme="minorBidi"/>
          <w:snapToGrid w:val="0"/>
        </w:rPr>
        <w:t>.</w:t>
      </w:r>
    </w:p>
    <w:p w14:paraId="1B90D13E" w14:textId="604D857D" w:rsidR="004C1FA1" w:rsidRPr="00C14128" w:rsidRDefault="004842A9" w:rsidP="00C14128">
      <w:pPr>
        <w:spacing w:after="120"/>
        <w:ind w:right="-2"/>
        <w:jc w:val="both"/>
        <w:rPr>
          <w:rFonts w:asciiTheme="minorHAnsi" w:hAnsiTheme="minorHAnsi" w:cstheme="minorBidi"/>
          <w:b/>
          <w:bCs/>
          <w:color w:val="4F81BD" w:themeColor="accent1"/>
          <w:u w:val="single"/>
        </w:rPr>
      </w:pPr>
      <w:r>
        <w:rPr>
          <w:rFonts w:asciiTheme="minorHAnsi" w:hAnsiTheme="minorHAnsi" w:cstheme="minorBidi"/>
          <w:b/>
          <w:bCs/>
          <w:color w:val="4F81BD" w:themeColor="accent1"/>
          <w:u w:val="single"/>
        </w:rPr>
        <w:t>Řeše</w:t>
      </w:r>
      <w:r w:rsidR="003C6E7E">
        <w:rPr>
          <w:rFonts w:asciiTheme="minorHAnsi" w:hAnsiTheme="minorHAnsi" w:cstheme="minorBidi"/>
          <w:b/>
          <w:bCs/>
          <w:color w:val="4F81BD" w:themeColor="accent1"/>
          <w:u w:val="single"/>
        </w:rPr>
        <w:t>ní</w:t>
      </w:r>
      <w:r>
        <w:rPr>
          <w:rFonts w:asciiTheme="minorHAnsi" w:hAnsiTheme="minorHAnsi" w:cstheme="minorBidi"/>
          <w:b/>
          <w:bCs/>
          <w:color w:val="4F81BD" w:themeColor="accent1"/>
          <w:u w:val="single"/>
        </w:rPr>
        <w:t xml:space="preserve"> p</w:t>
      </w:r>
      <w:r w:rsidR="004C1FA1" w:rsidRPr="5104966F">
        <w:rPr>
          <w:rFonts w:asciiTheme="minorHAnsi" w:hAnsiTheme="minorHAnsi" w:cstheme="minorBidi"/>
          <w:b/>
          <w:bCs/>
          <w:color w:val="4F81BD" w:themeColor="accent1"/>
          <w:u w:val="single"/>
        </w:rPr>
        <w:t>řípad</w:t>
      </w:r>
      <w:r>
        <w:rPr>
          <w:rFonts w:asciiTheme="minorHAnsi" w:hAnsiTheme="minorHAnsi" w:cstheme="minorBidi"/>
          <w:b/>
          <w:bCs/>
          <w:color w:val="4F81BD" w:themeColor="accent1"/>
          <w:u w:val="single"/>
        </w:rPr>
        <w:t>ů</w:t>
      </w:r>
      <w:r w:rsidR="004C1FA1" w:rsidRPr="5104966F">
        <w:rPr>
          <w:rFonts w:asciiTheme="minorHAnsi" w:hAnsiTheme="minorHAnsi" w:cstheme="minorBidi"/>
          <w:b/>
          <w:bCs/>
          <w:color w:val="4F81BD" w:themeColor="accent1"/>
          <w:u w:val="single"/>
        </w:rPr>
        <w:t xml:space="preserve"> porušení právního aktu</w:t>
      </w:r>
    </w:p>
    <w:p w14:paraId="2FC5DC20" w14:textId="2BDC8910" w:rsidR="004C1FA1" w:rsidRPr="00C14128" w:rsidRDefault="725F14BC">
      <w:pPr>
        <w:jc w:val="both"/>
        <w:rPr>
          <w:rFonts w:asciiTheme="minorHAnsi" w:hAnsiTheme="minorHAnsi" w:cstheme="minorBidi"/>
        </w:rPr>
      </w:pPr>
      <w:r w:rsidRPr="5104966F">
        <w:rPr>
          <w:rFonts w:asciiTheme="minorHAnsi" w:hAnsiTheme="minorHAnsi" w:cstheme="minorBidi"/>
        </w:rPr>
        <w:t xml:space="preserve">Pokud VK nebo jiná osoba oprávněná ke kontrole dodržování podmínek dle Podmínek realizace projektu (přílohy právního aktu) zjistí, že KP nesplnil nebo neplní některou z povinností uvedených </w:t>
      </w:r>
      <w:r w:rsidR="004C1FA1">
        <w:br/>
      </w:r>
      <w:r w:rsidRPr="5104966F">
        <w:rPr>
          <w:rFonts w:asciiTheme="minorHAnsi" w:hAnsiTheme="minorHAnsi" w:cstheme="minorBidi"/>
        </w:rPr>
        <w:t>v těchto Podmínkách nebo jiných souvisejících předpisech, je VK oprávněn pozastavit financování projektu z prostředků Národního plánu obnovy, komponenty 1.</w:t>
      </w:r>
      <w:r w:rsidR="002F27A3">
        <w:rPr>
          <w:rFonts w:asciiTheme="minorHAnsi" w:hAnsiTheme="minorHAnsi" w:cstheme="minorBidi"/>
        </w:rPr>
        <w:t>7</w:t>
      </w:r>
      <w:r w:rsidR="0053095C">
        <w:rPr>
          <w:rFonts w:asciiTheme="minorHAnsi" w:hAnsiTheme="minorHAnsi" w:cstheme="minorBidi"/>
        </w:rPr>
        <w:t xml:space="preserve"> </w:t>
      </w:r>
      <w:r w:rsidRPr="5104966F">
        <w:rPr>
          <w:rFonts w:asciiTheme="minorHAnsi" w:hAnsiTheme="minorHAnsi" w:cstheme="minorBidi"/>
        </w:rPr>
        <w:t>a zahájit potřebné kroky vedoucí k identifikaci, zda nevzniklo podezření na porušení rozpočtové kázně podle rozpočtových pravidel</w:t>
      </w:r>
      <w:r w:rsidR="00B54DB6" w:rsidRPr="5104966F">
        <w:rPr>
          <w:rFonts w:asciiTheme="minorHAnsi" w:hAnsiTheme="minorHAnsi" w:cstheme="minorBidi"/>
        </w:rPr>
        <w:t xml:space="preserve"> a stanoví odvod</w:t>
      </w:r>
      <w:r w:rsidRPr="5104966F">
        <w:rPr>
          <w:rFonts w:asciiTheme="minorHAnsi" w:hAnsiTheme="minorHAnsi" w:cstheme="minorBidi"/>
        </w:rPr>
        <w:t>:</w:t>
      </w:r>
    </w:p>
    <w:p w14:paraId="27DB450D" w14:textId="77777777" w:rsidR="00250D49" w:rsidRPr="005D14B7" w:rsidRDefault="00250D49" w:rsidP="00326B9E">
      <w:pPr>
        <w:jc w:val="both"/>
        <w:rPr>
          <w:rFonts w:asciiTheme="minorHAnsi" w:hAnsiTheme="minorHAnsi" w:cstheme="minorHAnsi"/>
        </w:rPr>
      </w:pPr>
    </w:p>
    <w:p w14:paraId="302C7738" w14:textId="71AA7887" w:rsidR="00BF5030" w:rsidRPr="00C14128" w:rsidRDefault="725F14BC">
      <w:pPr>
        <w:numPr>
          <w:ilvl w:val="0"/>
          <w:numId w:val="13"/>
        </w:numPr>
        <w:jc w:val="both"/>
        <w:rPr>
          <w:rFonts w:asciiTheme="minorHAnsi" w:hAnsiTheme="minorHAnsi" w:cstheme="minorBidi"/>
        </w:rPr>
      </w:pPr>
      <w:r w:rsidRPr="5104966F">
        <w:rPr>
          <w:rFonts w:asciiTheme="minorHAnsi" w:hAnsiTheme="minorHAnsi" w:cstheme="minorBidi"/>
        </w:rPr>
        <w:t xml:space="preserve">V případě porušení Podmínek realizace projektu uvedených v části III v bodech 1, 6, 8, 12, 17, 18, 19, 20, 21 bude vyměřen odvod za porušení rozpočtové kázně podle § 44a odst. 1 písm. b) rozpočtových pravidel </w:t>
      </w:r>
      <w:r w:rsidR="004842A9">
        <w:rPr>
          <w:rFonts w:asciiTheme="minorHAnsi" w:hAnsiTheme="minorHAnsi" w:cstheme="minorBidi"/>
        </w:rPr>
        <w:t xml:space="preserve">v procentu stanoveném na základě zásady proporcionality </w:t>
      </w:r>
      <w:r w:rsidR="00CA56C9">
        <w:rPr>
          <w:rFonts w:asciiTheme="minorHAnsi" w:hAnsiTheme="minorHAnsi" w:cstheme="minorBidi"/>
        </w:rPr>
        <w:t>až do</w:t>
      </w:r>
      <w:r w:rsidRPr="5104966F">
        <w:rPr>
          <w:rFonts w:asciiTheme="minorHAnsi" w:hAnsiTheme="minorHAnsi" w:cstheme="minorBidi"/>
        </w:rPr>
        <w:t xml:space="preserve"> výš</w:t>
      </w:r>
      <w:r w:rsidR="00CA56C9">
        <w:rPr>
          <w:rFonts w:asciiTheme="minorHAnsi" w:hAnsiTheme="minorHAnsi" w:cstheme="minorBidi"/>
        </w:rPr>
        <w:t>e</w:t>
      </w:r>
      <w:r w:rsidRPr="5104966F">
        <w:rPr>
          <w:rFonts w:asciiTheme="minorHAnsi" w:hAnsiTheme="minorHAnsi" w:cstheme="minorBidi"/>
        </w:rPr>
        <w:t xml:space="preserve"> </w:t>
      </w:r>
      <w:r w:rsidR="00E6394D" w:rsidRPr="5104966F">
        <w:rPr>
          <w:rFonts w:asciiTheme="minorHAnsi" w:hAnsiTheme="minorHAnsi" w:cstheme="minorBidi"/>
          <w:snapToGrid w:val="0"/>
        </w:rPr>
        <w:t>100 % z celkové částky dotace</w:t>
      </w:r>
      <w:r w:rsidRPr="5104966F">
        <w:rPr>
          <w:rFonts w:asciiTheme="minorHAnsi" w:hAnsiTheme="minorHAnsi" w:cstheme="minorBidi"/>
        </w:rPr>
        <w:t xml:space="preserve">. </w:t>
      </w:r>
      <w:r w:rsidR="004842A9">
        <w:rPr>
          <w:rFonts w:asciiTheme="minorHAnsi" w:hAnsiTheme="minorHAnsi" w:cstheme="minorBidi"/>
        </w:rPr>
        <w:t xml:space="preserve">Pro uplatnění zásady proporcionality bude postupováno </w:t>
      </w:r>
      <w:r w:rsidR="00CA56C9">
        <w:rPr>
          <w:rFonts w:asciiTheme="minorHAnsi" w:hAnsiTheme="minorHAnsi" w:cstheme="minorBidi"/>
        </w:rPr>
        <w:t xml:space="preserve">dle obecně závazných </w:t>
      </w:r>
      <w:r w:rsidR="00C96EC1">
        <w:rPr>
          <w:rFonts w:asciiTheme="minorHAnsi" w:hAnsiTheme="minorHAnsi" w:cstheme="minorBidi"/>
        </w:rPr>
        <w:t>předpisů</w:t>
      </w:r>
      <w:r w:rsidR="00CA56C9">
        <w:rPr>
          <w:rFonts w:asciiTheme="minorHAnsi" w:hAnsiTheme="minorHAnsi" w:cstheme="minorBidi"/>
        </w:rPr>
        <w:t xml:space="preserve">, rozhodnutí soudů, metodik a zavedené praxe. </w:t>
      </w:r>
    </w:p>
    <w:p w14:paraId="3F16D217" w14:textId="23F67AA3" w:rsidR="00250D49" w:rsidRPr="00C14128" w:rsidRDefault="725F14BC">
      <w:pPr>
        <w:numPr>
          <w:ilvl w:val="0"/>
          <w:numId w:val="13"/>
        </w:numPr>
        <w:jc w:val="both"/>
        <w:rPr>
          <w:rFonts w:asciiTheme="minorHAnsi" w:hAnsiTheme="minorHAnsi" w:cstheme="minorBidi"/>
        </w:rPr>
      </w:pPr>
      <w:r w:rsidRPr="5104966F">
        <w:rPr>
          <w:rFonts w:asciiTheme="minorHAnsi" w:hAnsiTheme="minorHAnsi" w:cstheme="minorBidi"/>
        </w:rPr>
        <w:t xml:space="preserve">V případě, že dojde k porušení povinností týkajících se zadávání zakázek (uvedených v části III v bodě 2), bude odvod za porušení rozpočtové kázně vyměřen dle § 14 odst. 4 </w:t>
      </w:r>
      <w:r w:rsidR="00250D49">
        <w:br/>
      </w:r>
      <w:r w:rsidRPr="5104966F">
        <w:rPr>
          <w:rFonts w:asciiTheme="minorHAnsi" w:hAnsiTheme="minorHAnsi" w:cstheme="minorBidi"/>
        </w:rPr>
        <w:t>písmeno g a odst. 5 rozpočtových pravidel, ve výši stanovené za porušení dané povinnosti dle níže uvedené tabulky „Typy porušení u veřejných zakázek a sazby snížených odvodů za porušení rozpočtové kázně“</w:t>
      </w:r>
      <w:r w:rsidR="00B54DB6" w:rsidRPr="5104966F">
        <w:rPr>
          <w:rFonts w:asciiTheme="minorHAnsi" w:hAnsiTheme="minorHAnsi" w:cstheme="minorBidi"/>
        </w:rPr>
        <w:t xml:space="preserve"> </w:t>
      </w:r>
      <w:r w:rsidR="00E6394D" w:rsidRPr="5104966F">
        <w:rPr>
          <w:rFonts w:asciiTheme="minorHAnsi" w:hAnsiTheme="minorHAnsi" w:cstheme="minorBidi"/>
        </w:rPr>
        <w:t>z částky, ve které byla porušena rozpočtová kázeň</w:t>
      </w:r>
      <w:r w:rsidRPr="5104966F">
        <w:rPr>
          <w:rFonts w:asciiTheme="minorHAnsi" w:hAnsiTheme="minorHAnsi" w:cstheme="minorBidi"/>
        </w:rPr>
        <w:t>.</w:t>
      </w:r>
    </w:p>
    <w:p w14:paraId="78F68002" w14:textId="6E00F2AC" w:rsidR="004C1FA1" w:rsidRPr="00C14128" w:rsidRDefault="725F14BC">
      <w:pPr>
        <w:numPr>
          <w:ilvl w:val="0"/>
          <w:numId w:val="13"/>
        </w:numPr>
        <w:jc w:val="both"/>
        <w:rPr>
          <w:rFonts w:asciiTheme="minorHAnsi" w:hAnsiTheme="minorHAnsi" w:cstheme="minorBidi"/>
        </w:rPr>
      </w:pPr>
      <w:r w:rsidRPr="5104966F">
        <w:rPr>
          <w:rFonts w:asciiTheme="minorHAnsi" w:hAnsiTheme="minorHAnsi" w:cstheme="minorBidi"/>
        </w:rPr>
        <w:t xml:space="preserve">V případě, že dojde k porušení Podmínek realizace projektu uvedených v části III v bodech neuvedených v bodu 1. a 2. této přílohy Pokynu pro příjemce, bude odvod za porušení rozpočtové kázně vyměřen dle § 14 odst. 4 písmeno g a odst. 5 rozpočtových pravidel ve výši 0 - 0,5% (dle závažnosti porušení rozpočtové kázně) z celkové </w:t>
      </w:r>
      <w:r w:rsidR="00E6394D" w:rsidRPr="5104966F">
        <w:rPr>
          <w:rFonts w:asciiTheme="minorHAnsi" w:hAnsiTheme="minorHAnsi" w:cstheme="minorBidi"/>
        </w:rPr>
        <w:t>částky dotace</w:t>
      </w:r>
      <w:r w:rsidRPr="5104966F">
        <w:rPr>
          <w:rFonts w:asciiTheme="minorHAnsi" w:hAnsiTheme="minorHAnsi" w:cstheme="minorBidi"/>
        </w:rPr>
        <w:t xml:space="preserve">. </w:t>
      </w:r>
    </w:p>
    <w:p w14:paraId="61220941" w14:textId="77777777" w:rsidR="00934A4A" w:rsidRDefault="00934A4A" w:rsidP="0094139E">
      <w:pPr>
        <w:pStyle w:val="Nadpis11"/>
        <w:tabs>
          <w:tab w:val="left" w:pos="456"/>
        </w:tabs>
        <w:spacing w:before="41"/>
        <w:ind w:left="0" w:firstLine="0"/>
        <w:rPr>
          <w:color w:val="4F81BD" w:themeColor="accent1"/>
          <w:u w:val="single"/>
        </w:rPr>
      </w:pPr>
    </w:p>
    <w:p w14:paraId="1670E9E8" w14:textId="77777777" w:rsidR="003336C4" w:rsidRDefault="003336C4" w:rsidP="725F14BC">
      <w:pPr>
        <w:pStyle w:val="Nadpis11"/>
        <w:tabs>
          <w:tab w:val="left" w:pos="456"/>
        </w:tabs>
        <w:spacing w:before="41"/>
        <w:ind w:left="0" w:firstLine="0"/>
        <w:rPr>
          <w:color w:val="4F81BD" w:themeColor="accent1"/>
          <w:u w:val="single"/>
        </w:rPr>
      </w:pPr>
    </w:p>
    <w:p w14:paraId="0ACB8E8E" w14:textId="77777777" w:rsidR="003336C4" w:rsidRDefault="003336C4" w:rsidP="725F14BC">
      <w:pPr>
        <w:pStyle w:val="Nadpis11"/>
        <w:tabs>
          <w:tab w:val="left" w:pos="456"/>
        </w:tabs>
        <w:spacing w:before="41"/>
        <w:ind w:left="0" w:firstLine="0"/>
        <w:rPr>
          <w:color w:val="4F81BD" w:themeColor="accent1"/>
          <w:u w:val="single"/>
        </w:rPr>
      </w:pPr>
    </w:p>
    <w:p w14:paraId="1381CAD5" w14:textId="27372D24" w:rsidR="0094139E" w:rsidRDefault="0094139E" w:rsidP="725F14BC">
      <w:pPr>
        <w:pStyle w:val="Nadpis11"/>
        <w:tabs>
          <w:tab w:val="left" w:pos="456"/>
        </w:tabs>
        <w:spacing w:before="41"/>
        <w:ind w:left="0" w:firstLine="0"/>
        <w:rPr>
          <w:color w:val="4F81BD" w:themeColor="accent1"/>
          <w:u w:val="single"/>
        </w:rPr>
      </w:pPr>
      <w:r w:rsidRPr="00B57B82">
        <w:rPr>
          <w:color w:val="4F81BD" w:themeColor="accent1"/>
          <w:u w:val="single"/>
        </w:rPr>
        <w:t>Typy porušení</w:t>
      </w:r>
      <w:r w:rsidR="00B57B82" w:rsidRPr="00B57B82">
        <w:rPr>
          <w:color w:val="4F81BD" w:themeColor="accent1"/>
          <w:u w:val="single"/>
        </w:rPr>
        <w:t xml:space="preserve"> u veřejných zakázek</w:t>
      </w:r>
      <w:r w:rsidRPr="00B57B82">
        <w:rPr>
          <w:color w:val="4F81BD" w:themeColor="accent1"/>
          <w:u w:val="single"/>
        </w:rPr>
        <w:t xml:space="preserve"> a sazby snížených odvodů za porušení rozpočtové</w:t>
      </w:r>
      <w:r w:rsidRPr="00B57B82">
        <w:rPr>
          <w:color w:val="4F81BD" w:themeColor="accent1"/>
          <w:spacing w:val="-8"/>
          <w:u w:val="single"/>
        </w:rPr>
        <w:t xml:space="preserve"> </w:t>
      </w:r>
      <w:r w:rsidRPr="00B57B82">
        <w:rPr>
          <w:color w:val="4F81BD" w:themeColor="accent1"/>
          <w:u w:val="single"/>
        </w:rPr>
        <w:t>kázně</w:t>
      </w:r>
    </w:p>
    <w:p w14:paraId="448F2128" w14:textId="38F7484C" w:rsidR="00C82755" w:rsidRDefault="00C82755" w:rsidP="0094139E">
      <w:pPr>
        <w:pStyle w:val="Nadpis11"/>
        <w:tabs>
          <w:tab w:val="left" w:pos="456"/>
        </w:tabs>
        <w:spacing w:before="41"/>
        <w:ind w:left="0" w:firstLine="0"/>
        <w:rPr>
          <w:color w:val="4F81BD" w:themeColor="accent1"/>
          <w:u w:val="single"/>
        </w:rPr>
      </w:pPr>
    </w:p>
    <w:p w14:paraId="5F3C8638" w14:textId="0A02505D" w:rsidR="00C82755" w:rsidRPr="00C14128" w:rsidRDefault="00C82755" w:rsidP="00C14128">
      <w:pPr>
        <w:spacing w:after="120"/>
        <w:ind w:right="-2"/>
        <w:jc w:val="both"/>
        <w:rPr>
          <w:rFonts w:asciiTheme="minorHAnsi" w:hAnsiTheme="minorHAnsi" w:cstheme="minorBidi"/>
        </w:rPr>
      </w:pPr>
      <w:r w:rsidRPr="5104966F">
        <w:rPr>
          <w:rFonts w:asciiTheme="minorHAnsi" w:hAnsiTheme="minorHAnsi" w:cstheme="minorBidi"/>
          <w:snapToGrid w:val="0"/>
        </w:rPr>
        <w:t xml:space="preserve">Vyskytne-li se v jednom zadávacím (výběrovém) řízení více pochybení, sazby snížených odvodů </w:t>
      </w:r>
      <w:r w:rsidR="00E6394D">
        <w:rPr>
          <w:rFonts w:asciiTheme="minorHAnsi" w:hAnsiTheme="minorHAnsi" w:cstheme="minorBidi"/>
          <w:snapToGrid w:val="0"/>
        </w:rPr>
        <w:br/>
      </w:r>
      <w:r w:rsidRPr="5104966F">
        <w:rPr>
          <w:rFonts w:asciiTheme="minorHAnsi" w:hAnsiTheme="minorHAnsi" w:cstheme="minorBidi"/>
          <w:snapToGrid w:val="0"/>
        </w:rPr>
        <w:t>se nesčítají, ale při rozhodování o sazbě (5 %, 10 %, 25 % nebo 100 %) se zohlední nejzávažnější porušení.</w:t>
      </w:r>
    </w:p>
    <w:p w14:paraId="555EA663" w14:textId="70299D8A" w:rsidR="00C82755" w:rsidRPr="00C14128" w:rsidRDefault="00C82755" w:rsidP="00C14128">
      <w:pPr>
        <w:spacing w:after="120"/>
        <w:ind w:right="-2"/>
        <w:jc w:val="both"/>
        <w:rPr>
          <w:rFonts w:asciiTheme="minorHAnsi" w:hAnsiTheme="minorHAnsi" w:cstheme="minorBidi"/>
          <w:snapToGrid w:val="0"/>
        </w:rPr>
      </w:pPr>
      <w:r w:rsidRPr="5104966F">
        <w:rPr>
          <w:rFonts w:asciiTheme="minorHAnsi" w:hAnsiTheme="minorHAnsi" w:cstheme="minorBidi"/>
          <w:snapToGrid w:val="0"/>
        </w:rPr>
        <w:t xml:space="preserve">Závažnost porušení je posuzována zejména z hlediska jeho skutečného nebo možného vlivu </w:t>
      </w:r>
      <w:r w:rsidR="00E6394D">
        <w:rPr>
          <w:rFonts w:asciiTheme="minorHAnsi" w:hAnsiTheme="minorHAnsi" w:cstheme="minorBidi"/>
          <w:snapToGrid w:val="0"/>
        </w:rPr>
        <w:br/>
      </w:r>
      <w:r w:rsidRPr="5104966F">
        <w:rPr>
          <w:rFonts w:asciiTheme="minorHAnsi" w:hAnsiTheme="minorHAnsi" w:cstheme="minorBidi"/>
          <w:snapToGrid w:val="0"/>
        </w:rPr>
        <w:t xml:space="preserve">na 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w:t>
      </w:r>
      <w:r w:rsidR="00D74F64" w:rsidRPr="5104966F">
        <w:rPr>
          <w:rFonts w:asciiTheme="minorHAnsi" w:hAnsiTheme="minorHAnsi" w:cstheme="minorBidi"/>
          <w:snapToGrid w:val="0"/>
        </w:rPr>
        <w:t>účastníků</w:t>
      </w:r>
      <w:r w:rsidRPr="5104966F">
        <w:rPr>
          <w:rFonts w:asciiTheme="minorHAnsi" w:hAnsiTheme="minorHAnsi" w:cstheme="minorBidi"/>
          <w:snapToGrid w:val="0"/>
        </w:rPr>
        <w:t xml:space="preserve"> od účasti ve výběrovém/zadávacím řízení nebo k zadání veřejné zakázky jinému </w:t>
      </w:r>
      <w:r w:rsidR="00D74F64" w:rsidRPr="5104966F">
        <w:rPr>
          <w:rFonts w:asciiTheme="minorHAnsi" w:hAnsiTheme="minorHAnsi" w:cstheme="minorBidi"/>
          <w:snapToGrid w:val="0"/>
        </w:rPr>
        <w:t>účastníkovi</w:t>
      </w:r>
      <w:r w:rsidRPr="5104966F">
        <w:rPr>
          <w:rFonts w:asciiTheme="minorHAnsi" w:hAnsiTheme="minorHAnsi" w:cstheme="minorBidi"/>
          <w:snapToGrid w:val="0"/>
        </w:rPr>
        <w:t xml:space="preserve">, než kterému měla být zadána. </w:t>
      </w:r>
    </w:p>
    <w:p w14:paraId="609C0594" w14:textId="4E28BABB" w:rsidR="00B34FDD" w:rsidRPr="00C14128" w:rsidRDefault="00B34FDD" w:rsidP="00C14128">
      <w:pPr>
        <w:spacing w:after="120"/>
        <w:ind w:right="-2"/>
        <w:jc w:val="both"/>
        <w:rPr>
          <w:rFonts w:asciiTheme="minorHAnsi" w:hAnsiTheme="minorHAnsi" w:cstheme="minorBidi"/>
          <w:snapToGrid w:val="0"/>
        </w:rPr>
      </w:pPr>
      <w:r w:rsidRPr="5104966F">
        <w:rPr>
          <w:rFonts w:asciiTheme="minorHAnsi" w:hAnsiTheme="minorHAnsi" w:cstheme="minorBidi"/>
          <w:snapToGrid w:val="0"/>
        </w:rPr>
        <w:t xml:space="preserve">Výše odvodu se vypočte z částky, která byla nebo má být z prostředků NPO poskytnuta v souvislosti </w:t>
      </w:r>
      <w:r>
        <w:rPr>
          <w:rFonts w:asciiTheme="minorHAnsi" w:hAnsiTheme="minorHAnsi" w:cstheme="minorBidi"/>
          <w:snapToGrid w:val="0"/>
        </w:rPr>
        <w:br/>
      </w:r>
      <w:r w:rsidRPr="5104966F">
        <w:rPr>
          <w:rFonts w:asciiTheme="minorHAnsi" w:hAnsiTheme="minorHAnsi" w:cstheme="minorBidi"/>
          <w:snapToGrid w:val="0"/>
        </w:rPr>
        <w:t>s veřejnou zakázkou, u které se porušení vyskytlo.</w:t>
      </w:r>
    </w:p>
    <w:p w14:paraId="45B9F93E" w14:textId="236F23AA" w:rsidR="00B34FDD" w:rsidRPr="00C14128" w:rsidRDefault="00B34FDD" w:rsidP="00C14128">
      <w:pPr>
        <w:spacing w:after="120"/>
        <w:ind w:right="-2"/>
        <w:jc w:val="both"/>
        <w:rPr>
          <w:rFonts w:asciiTheme="minorHAnsi" w:hAnsiTheme="minorHAnsi" w:cstheme="minorBidi"/>
          <w:snapToGrid w:val="0"/>
        </w:rPr>
      </w:pPr>
      <w:r w:rsidRPr="5104966F">
        <w:rPr>
          <w:rFonts w:asciiTheme="minorHAnsi" w:hAnsiTheme="minorHAnsi" w:cstheme="minorBidi"/>
          <w:snapToGrid w:val="0"/>
        </w:rPr>
        <w:t>V případě, že bude identifikováno porušení, které nelze podřadit pod konkrétní typ porušení uvedený v tabulce – Typy porušení a sazby snížených odvodů této části, bude stanoven odvod analogicky a dle zásady přiměřenosti.</w:t>
      </w:r>
    </w:p>
    <w:p w14:paraId="2B21FEC8" w14:textId="10B5D637" w:rsidR="00C82755" w:rsidRPr="00C14128" w:rsidRDefault="00C82755" w:rsidP="00C14128">
      <w:pPr>
        <w:spacing w:after="120"/>
        <w:ind w:right="-2"/>
        <w:jc w:val="both"/>
        <w:rPr>
          <w:rFonts w:asciiTheme="minorHAnsi" w:hAnsiTheme="minorHAnsi" w:cstheme="minorBidi"/>
        </w:rPr>
      </w:pPr>
      <w:r w:rsidRPr="5104966F">
        <w:rPr>
          <w:rFonts w:asciiTheme="minorHAnsi" w:hAnsiTheme="minorHAnsi" w:cstheme="minorBidi"/>
          <w:snapToGrid w:val="0"/>
        </w:rPr>
        <w:t xml:space="preserve">V případě, kdy je porušení pravidel pro zadávání veřejných zakázek pouze formální povahy </w:t>
      </w:r>
      <w:r w:rsidR="00E6394D">
        <w:rPr>
          <w:rFonts w:asciiTheme="minorHAnsi" w:hAnsiTheme="minorHAnsi" w:cstheme="minorBidi"/>
          <w:snapToGrid w:val="0"/>
        </w:rPr>
        <w:br/>
      </w:r>
      <w:r w:rsidRPr="5104966F">
        <w:rPr>
          <w:rFonts w:asciiTheme="minorHAnsi" w:hAnsiTheme="minorHAnsi" w:cstheme="minorBidi"/>
          <w:snapToGrid w:val="0"/>
        </w:rPr>
        <w:t>bez skutečného nebo potenciálního finančního dopadu, nebude proveden žádný odvod.</w:t>
      </w:r>
    </w:p>
    <w:p w14:paraId="52A6D31E" w14:textId="77777777" w:rsidR="00D53428" w:rsidRDefault="00D53428">
      <w:pPr>
        <w:tabs>
          <w:tab w:val="left" w:pos="579"/>
        </w:tabs>
        <w:rPr>
          <w:rFonts w:asciiTheme="minorHAnsi" w:hAnsiTheme="minorHAnsi" w:cstheme="minorBidi"/>
          <w:color w:val="4F81BD" w:themeColor="accent1"/>
          <w:u w:val="single"/>
        </w:rPr>
      </w:pPr>
    </w:p>
    <w:p w14:paraId="707AFA9F" w14:textId="5C26AC24" w:rsidR="0094139E" w:rsidRPr="00C14128" w:rsidRDefault="0094139E">
      <w:pPr>
        <w:tabs>
          <w:tab w:val="left" w:pos="579"/>
        </w:tabs>
        <w:rPr>
          <w:rFonts w:asciiTheme="minorHAnsi" w:hAnsiTheme="minorHAnsi" w:cstheme="minorBidi"/>
          <w:color w:val="4F81BD" w:themeColor="accent1"/>
          <w:u w:val="single"/>
        </w:rPr>
      </w:pPr>
      <w:r w:rsidRPr="5104966F">
        <w:rPr>
          <w:rFonts w:asciiTheme="minorHAnsi" w:hAnsiTheme="minorHAnsi" w:cstheme="minorBidi"/>
          <w:color w:val="4F81BD" w:themeColor="accent1"/>
          <w:u w:val="single"/>
        </w:rPr>
        <w:t>Oznámení o zakázce a zadávací</w:t>
      </w:r>
      <w:r w:rsidRPr="5104966F">
        <w:rPr>
          <w:rFonts w:asciiTheme="minorHAnsi" w:hAnsiTheme="minorHAnsi" w:cstheme="minorBidi"/>
          <w:color w:val="4F81BD" w:themeColor="accent1"/>
          <w:spacing w:val="-5"/>
          <w:u w:val="single"/>
        </w:rPr>
        <w:t xml:space="preserve"> </w:t>
      </w:r>
      <w:r w:rsidRPr="5104966F">
        <w:rPr>
          <w:rFonts w:asciiTheme="minorHAnsi" w:hAnsiTheme="minorHAnsi" w:cstheme="minorBidi"/>
          <w:color w:val="4F81BD" w:themeColor="accent1"/>
          <w:u w:val="single"/>
        </w:rPr>
        <w:t>podmínky</w:t>
      </w:r>
    </w:p>
    <w:p w14:paraId="62486C05" w14:textId="77777777" w:rsidR="0094139E" w:rsidRDefault="0094139E" w:rsidP="0094139E">
      <w:pPr>
        <w:pStyle w:val="Zkladntext"/>
        <w:rPr>
          <w:b/>
        </w:rPr>
      </w:pPr>
    </w:p>
    <w:tbl>
      <w:tblPr>
        <w:tblStyle w:val="NormalTable0"/>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8"/>
        <w:gridCol w:w="2484"/>
        <w:gridCol w:w="3524"/>
        <w:gridCol w:w="3059"/>
      </w:tblGrid>
      <w:tr w:rsidR="0094139E" w14:paraId="5471A4BF" w14:textId="77777777" w:rsidTr="00D53428">
        <w:trPr>
          <w:trHeight w:val="293"/>
        </w:trPr>
        <w:tc>
          <w:tcPr>
            <w:tcW w:w="0" w:type="auto"/>
          </w:tcPr>
          <w:p w14:paraId="4EF62BC7" w14:textId="77777777" w:rsidR="0094139E" w:rsidRDefault="725F14BC" w:rsidP="725F14BC">
            <w:pPr>
              <w:pStyle w:val="TableParagraph"/>
              <w:spacing w:line="273" w:lineRule="exact"/>
              <w:ind w:left="107"/>
              <w:rPr>
                <w:b/>
                <w:bCs/>
                <w:sz w:val="24"/>
                <w:szCs w:val="24"/>
              </w:rPr>
            </w:pPr>
            <w:r w:rsidRPr="725F14BC">
              <w:rPr>
                <w:b/>
                <w:bCs/>
                <w:sz w:val="24"/>
                <w:szCs w:val="24"/>
              </w:rPr>
              <w:t>Bod</w:t>
            </w:r>
          </w:p>
        </w:tc>
        <w:tc>
          <w:tcPr>
            <w:tcW w:w="0" w:type="auto"/>
          </w:tcPr>
          <w:p w14:paraId="50C922B7" w14:textId="77777777" w:rsidR="0094139E" w:rsidRPr="005D14B7" w:rsidRDefault="725F14BC" w:rsidP="725F14BC">
            <w:pPr>
              <w:pStyle w:val="TableParagraph"/>
              <w:spacing w:line="273" w:lineRule="exact"/>
              <w:ind w:left="108"/>
              <w:rPr>
                <w:b/>
                <w:bCs/>
                <w:sz w:val="24"/>
                <w:szCs w:val="24"/>
                <w:lang w:val="cs-CZ"/>
              </w:rPr>
            </w:pPr>
            <w:r w:rsidRPr="725F14BC">
              <w:rPr>
                <w:b/>
                <w:bCs/>
                <w:sz w:val="24"/>
                <w:szCs w:val="24"/>
                <w:lang w:val="cs-CZ"/>
              </w:rPr>
              <w:t>Typ porušení</w:t>
            </w:r>
          </w:p>
        </w:tc>
        <w:tc>
          <w:tcPr>
            <w:tcW w:w="0" w:type="auto"/>
          </w:tcPr>
          <w:p w14:paraId="4DE32F53" w14:textId="77777777" w:rsidR="0094139E" w:rsidRPr="005D14B7" w:rsidRDefault="725F14BC" w:rsidP="725F14BC">
            <w:pPr>
              <w:pStyle w:val="TableParagraph"/>
              <w:spacing w:line="273" w:lineRule="exact"/>
              <w:ind w:left="108"/>
              <w:rPr>
                <w:b/>
                <w:bCs/>
                <w:sz w:val="24"/>
                <w:szCs w:val="24"/>
                <w:lang w:val="cs-CZ"/>
              </w:rPr>
            </w:pPr>
            <w:r w:rsidRPr="725F14BC">
              <w:rPr>
                <w:b/>
                <w:bCs/>
                <w:sz w:val="24"/>
                <w:szCs w:val="24"/>
                <w:lang w:val="cs-CZ"/>
              </w:rPr>
              <w:t>Popis pochybení</w:t>
            </w:r>
          </w:p>
        </w:tc>
        <w:tc>
          <w:tcPr>
            <w:tcW w:w="0" w:type="auto"/>
          </w:tcPr>
          <w:p w14:paraId="5DE7B44D" w14:textId="77777777" w:rsidR="0094139E" w:rsidRPr="005D14B7" w:rsidRDefault="725F14BC" w:rsidP="725F14BC">
            <w:pPr>
              <w:pStyle w:val="TableParagraph"/>
              <w:spacing w:line="273" w:lineRule="exact"/>
              <w:ind w:left="108"/>
              <w:rPr>
                <w:b/>
                <w:bCs/>
                <w:sz w:val="24"/>
                <w:szCs w:val="24"/>
                <w:lang w:val="cs-CZ"/>
              </w:rPr>
            </w:pPr>
            <w:r w:rsidRPr="725F14BC">
              <w:rPr>
                <w:b/>
                <w:bCs/>
                <w:sz w:val="24"/>
                <w:szCs w:val="24"/>
                <w:lang w:val="cs-CZ"/>
              </w:rPr>
              <w:t>Sazba sníženého odvodu</w:t>
            </w:r>
          </w:p>
        </w:tc>
      </w:tr>
      <w:tr w:rsidR="0094139E" w14:paraId="2EF234BD" w14:textId="77777777" w:rsidTr="00D53428">
        <w:trPr>
          <w:trHeight w:val="315"/>
        </w:trPr>
        <w:tc>
          <w:tcPr>
            <w:tcW w:w="0" w:type="auto"/>
            <w:vMerge w:val="restart"/>
          </w:tcPr>
          <w:p w14:paraId="0135CBF0" w14:textId="77777777" w:rsidR="0094139E" w:rsidRDefault="725F14BC" w:rsidP="725F14BC">
            <w:pPr>
              <w:pStyle w:val="TableParagraph"/>
              <w:spacing w:line="292" w:lineRule="exact"/>
              <w:ind w:left="107"/>
              <w:rPr>
                <w:sz w:val="24"/>
                <w:szCs w:val="24"/>
              </w:rPr>
            </w:pPr>
            <w:r w:rsidRPr="725F14BC">
              <w:rPr>
                <w:sz w:val="24"/>
                <w:szCs w:val="24"/>
              </w:rPr>
              <w:t>1.</w:t>
            </w:r>
          </w:p>
        </w:tc>
        <w:tc>
          <w:tcPr>
            <w:tcW w:w="0" w:type="auto"/>
            <w:vMerge w:val="restart"/>
          </w:tcPr>
          <w:p w14:paraId="3FF55746" w14:textId="77777777" w:rsidR="0094139E" w:rsidRDefault="725F14BC" w:rsidP="725F14BC">
            <w:pPr>
              <w:pStyle w:val="TableParagraph"/>
              <w:ind w:left="108" w:right="103"/>
              <w:rPr>
                <w:sz w:val="24"/>
                <w:szCs w:val="24"/>
                <w:lang w:val="cs-CZ"/>
              </w:rPr>
            </w:pPr>
            <w:r w:rsidRPr="725F14BC">
              <w:rPr>
                <w:sz w:val="24"/>
                <w:szCs w:val="24"/>
                <w:lang w:val="cs-CZ"/>
              </w:rPr>
              <w:t>Nedodržení požadovaného způsobu zahájení</w:t>
            </w:r>
          </w:p>
          <w:p w14:paraId="022B43AF" w14:textId="169BAEF8" w:rsidR="00F15469" w:rsidRPr="005D14B7" w:rsidRDefault="725F14BC" w:rsidP="725F14BC">
            <w:pPr>
              <w:pStyle w:val="TableParagraph"/>
              <w:ind w:left="108" w:right="103"/>
              <w:rPr>
                <w:sz w:val="24"/>
                <w:szCs w:val="24"/>
                <w:lang w:val="cs-CZ"/>
              </w:rPr>
            </w:pPr>
            <w:r w:rsidRPr="725F14BC">
              <w:rPr>
                <w:sz w:val="24"/>
                <w:szCs w:val="24"/>
                <w:lang w:val="cs-CZ"/>
              </w:rPr>
              <w:t>nebo neoprávněné přímé zadání</w:t>
            </w:r>
          </w:p>
        </w:tc>
        <w:tc>
          <w:tcPr>
            <w:tcW w:w="0" w:type="auto"/>
            <w:vMerge w:val="restart"/>
          </w:tcPr>
          <w:p w14:paraId="79339CD2" w14:textId="77777777" w:rsidR="0094139E" w:rsidRPr="005D14B7" w:rsidRDefault="725F14BC" w:rsidP="725F14BC">
            <w:pPr>
              <w:pStyle w:val="TableParagraph"/>
              <w:ind w:left="108" w:right="448"/>
              <w:rPr>
                <w:sz w:val="24"/>
                <w:szCs w:val="24"/>
                <w:lang w:val="cs-CZ"/>
              </w:rPr>
            </w:pPr>
            <w:r w:rsidRPr="725F14BC">
              <w:rPr>
                <w:sz w:val="24"/>
                <w:szCs w:val="24"/>
                <w:lang w:val="cs-CZ"/>
              </w:rPr>
              <w:t>Zadavatel zadal veřejnou zakázku, aniž by zahájil zadávací řízení v souladu se zákonem</w:t>
            </w:r>
          </w:p>
        </w:tc>
        <w:tc>
          <w:tcPr>
            <w:tcW w:w="0" w:type="auto"/>
          </w:tcPr>
          <w:p w14:paraId="46318470" w14:textId="77777777" w:rsidR="0094139E" w:rsidRPr="005D14B7" w:rsidRDefault="725F14BC" w:rsidP="725F14BC">
            <w:pPr>
              <w:pStyle w:val="TableParagraph"/>
              <w:spacing w:line="292" w:lineRule="exact"/>
              <w:ind w:left="108"/>
              <w:rPr>
                <w:sz w:val="24"/>
                <w:szCs w:val="24"/>
                <w:lang w:val="cs-CZ"/>
              </w:rPr>
            </w:pPr>
            <w:r w:rsidRPr="725F14BC">
              <w:rPr>
                <w:sz w:val="24"/>
                <w:szCs w:val="24"/>
                <w:lang w:val="cs-CZ"/>
              </w:rPr>
              <w:t>100 %</w:t>
            </w:r>
          </w:p>
        </w:tc>
      </w:tr>
      <w:tr w:rsidR="0094139E" w14:paraId="78068C65" w14:textId="77777777" w:rsidTr="00D53428">
        <w:trPr>
          <w:trHeight w:val="1584"/>
        </w:trPr>
        <w:tc>
          <w:tcPr>
            <w:tcW w:w="0" w:type="auto"/>
            <w:vMerge/>
            <w:tcBorders>
              <w:top w:val="nil"/>
            </w:tcBorders>
          </w:tcPr>
          <w:p w14:paraId="4101652C" w14:textId="77777777" w:rsidR="0094139E" w:rsidRDefault="0094139E" w:rsidP="00262A26">
            <w:pPr>
              <w:rPr>
                <w:sz w:val="2"/>
                <w:szCs w:val="2"/>
              </w:rPr>
            </w:pPr>
          </w:p>
        </w:tc>
        <w:tc>
          <w:tcPr>
            <w:tcW w:w="0" w:type="auto"/>
            <w:vMerge/>
            <w:tcBorders>
              <w:top w:val="nil"/>
            </w:tcBorders>
          </w:tcPr>
          <w:p w14:paraId="4B99056E" w14:textId="77777777" w:rsidR="0094139E" w:rsidRPr="004F110D" w:rsidRDefault="0094139E" w:rsidP="00262A26">
            <w:pPr>
              <w:rPr>
                <w:sz w:val="2"/>
                <w:szCs w:val="2"/>
                <w:lang w:val="cs-CZ"/>
              </w:rPr>
            </w:pPr>
          </w:p>
        </w:tc>
        <w:tc>
          <w:tcPr>
            <w:tcW w:w="0" w:type="auto"/>
            <w:vMerge/>
            <w:tcBorders>
              <w:top w:val="nil"/>
            </w:tcBorders>
          </w:tcPr>
          <w:p w14:paraId="1299C43A" w14:textId="77777777" w:rsidR="0094139E" w:rsidRPr="004F110D" w:rsidRDefault="0094139E" w:rsidP="00262A26">
            <w:pPr>
              <w:rPr>
                <w:sz w:val="2"/>
                <w:szCs w:val="2"/>
                <w:lang w:val="cs-CZ"/>
              </w:rPr>
            </w:pPr>
          </w:p>
        </w:tc>
        <w:tc>
          <w:tcPr>
            <w:tcW w:w="0" w:type="auto"/>
          </w:tcPr>
          <w:p w14:paraId="0AE8670C" w14:textId="77777777" w:rsidR="0094139E" w:rsidRPr="00572B4E" w:rsidRDefault="725F14BC" w:rsidP="725F14BC">
            <w:pPr>
              <w:pStyle w:val="TableParagraph"/>
              <w:ind w:left="108" w:right="203"/>
              <w:rPr>
                <w:sz w:val="24"/>
                <w:szCs w:val="24"/>
                <w:lang w:val="cs-CZ"/>
              </w:rPr>
            </w:pPr>
            <w:r w:rsidRPr="725F14BC">
              <w:rPr>
                <w:sz w:val="24"/>
                <w:szCs w:val="24"/>
                <w:lang w:val="cs-CZ"/>
              </w:rPr>
              <w:t>25 %, pokud byla dodržena určitá míra uveřejnění, která umožnila potenciálním dodavatelům přístup k zadávané veřejné zakázce</w:t>
            </w:r>
          </w:p>
        </w:tc>
      </w:tr>
      <w:tr w:rsidR="00285F41" w14:paraId="00F248A0" w14:textId="77777777" w:rsidTr="00D53428">
        <w:trPr>
          <w:trHeight w:val="316"/>
        </w:trPr>
        <w:tc>
          <w:tcPr>
            <w:tcW w:w="0" w:type="auto"/>
            <w:vMerge w:val="restart"/>
          </w:tcPr>
          <w:p w14:paraId="47886996" w14:textId="77777777" w:rsidR="00285F41" w:rsidRDefault="00285F41" w:rsidP="725F14BC">
            <w:pPr>
              <w:pStyle w:val="TableParagraph"/>
              <w:ind w:left="107"/>
              <w:rPr>
                <w:sz w:val="24"/>
                <w:szCs w:val="24"/>
              </w:rPr>
            </w:pPr>
            <w:r w:rsidRPr="725F14BC">
              <w:rPr>
                <w:sz w:val="24"/>
                <w:szCs w:val="24"/>
              </w:rPr>
              <w:t>2.</w:t>
            </w:r>
          </w:p>
        </w:tc>
        <w:tc>
          <w:tcPr>
            <w:tcW w:w="0" w:type="auto"/>
            <w:vMerge w:val="restart"/>
          </w:tcPr>
          <w:p w14:paraId="73BF8E92" w14:textId="64C5A2F6" w:rsidR="00285F41" w:rsidRPr="005D14B7" w:rsidRDefault="00285F41" w:rsidP="00D74F64">
            <w:pPr>
              <w:pStyle w:val="TableParagraph"/>
              <w:ind w:left="108" w:right="128"/>
              <w:rPr>
                <w:sz w:val="24"/>
                <w:szCs w:val="24"/>
                <w:lang w:val="cs-CZ"/>
              </w:rPr>
            </w:pPr>
            <w:r w:rsidRPr="725F14BC">
              <w:rPr>
                <w:sz w:val="24"/>
                <w:szCs w:val="24"/>
                <w:lang w:val="cs-CZ"/>
              </w:rPr>
              <w:t>Neoprávněné rozdělení předmětu veřejné zakázky</w:t>
            </w:r>
          </w:p>
        </w:tc>
        <w:tc>
          <w:tcPr>
            <w:tcW w:w="0" w:type="auto"/>
            <w:vMerge w:val="restart"/>
          </w:tcPr>
          <w:p w14:paraId="77739D7D" w14:textId="06FA1046" w:rsidR="00285F41" w:rsidRPr="005D14B7" w:rsidRDefault="00285F41" w:rsidP="725F14BC">
            <w:pPr>
              <w:pStyle w:val="TableParagraph"/>
              <w:ind w:left="108" w:right="102"/>
              <w:rPr>
                <w:sz w:val="24"/>
                <w:szCs w:val="24"/>
                <w:lang w:val="cs-CZ"/>
              </w:rPr>
            </w:pPr>
            <w:r w:rsidRPr="725F14BC">
              <w:rPr>
                <w:sz w:val="24"/>
                <w:szCs w:val="24"/>
                <w:lang w:val="cs-CZ"/>
              </w:rPr>
              <w:t xml:space="preserve">Zadavatel rozdělil předmět veřejné zakázky tak, že tím došlo </w:t>
            </w:r>
            <w:r>
              <w:rPr>
                <w:sz w:val="24"/>
                <w:szCs w:val="24"/>
                <w:lang w:val="cs-CZ"/>
              </w:rPr>
              <w:t xml:space="preserve">v rozporu s ZZVZ/Interním pokynem KP/Pokynem pro zadávání VZMR </w:t>
            </w:r>
            <w:r w:rsidRPr="725F14BC">
              <w:rPr>
                <w:sz w:val="24"/>
                <w:szCs w:val="24"/>
                <w:lang w:val="cs-CZ"/>
              </w:rPr>
              <w:t xml:space="preserve">ke snížení předpokládané hodnoty pod </w:t>
            </w:r>
            <w:r w:rsidRPr="725F14BC">
              <w:rPr>
                <w:sz w:val="24"/>
                <w:szCs w:val="24"/>
                <w:lang w:val="cs-CZ"/>
              </w:rPr>
              <w:lastRenderedPageBreak/>
              <w:t>finanční limity stanovené v ZZVZ/Interním pokynu KP</w:t>
            </w:r>
            <w:r>
              <w:rPr>
                <w:sz w:val="24"/>
                <w:szCs w:val="24"/>
                <w:lang w:val="cs-CZ"/>
              </w:rPr>
              <w:t>/Pokynu pro zadávání VZMR</w:t>
            </w:r>
            <w:r w:rsidRPr="725F14BC">
              <w:rPr>
                <w:sz w:val="24"/>
                <w:szCs w:val="24"/>
                <w:lang w:val="cs-CZ"/>
              </w:rPr>
              <w:t>; v případě, že tento postup vede až k zadání veřejné zakázky bez jakéhokoli zadávacího řízení, postupuje</w:t>
            </w:r>
            <w:r w:rsidRPr="725F14BC">
              <w:rPr>
                <w:spacing w:val="-10"/>
                <w:sz w:val="24"/>
                <w:szCs w:val="24"/>
                <w:lang w:val="cs-CZ"/>
              </w:rPr>
              <w:t xml:space="preserve"> </w:t>
            </w:r>
            <w:r w:rsidRPr="725F14BC">
              <w:rPr>
                <w:sz w:val="24"/>
                <w:szCs w:val="24"/>
                <w:lang w:val="cs-CZ"/>
              </w:rPr>
              <w:t>se</w:t>
            </w:r>
          </w:p>
          <w:p w14:paraId="3C722F1C" w14:textId="77777777" w:rsidR="00285F41" w:rsidRPr="005D14B7" w:rsidRDefault="00285F41" w:rsidP="725F14BC">
            <w:pPr>
              <w:pStyle w:val="TableParagraph"/>
              <w:spacing w:line="273" w:lineRule="exact"/>
              <w:ind w:left="108"/>
              <w:rPr>
                <w:sz w:val="24"/>
                <w:szCs w:val="24"/>
                <w:lang w:val="cs-CZ"/>
              </w:rPr>
            </w:pPr>
            <w:r w:rsidRPr="725F14BC">
              <w:rPr>
                <w:sz w:val="24"/>
                <w:szCs w:val="24"/>
                <w:lang w:val="cs-CZ"/>
              </w:rPr>
              <w:t>dle výše uvedeného bodu 1</w:t>
            </w:r>
          </w:p>
          <w:p w14:paraId="313F63F9" w14:textId="009E1643" w:rsidR="00285F41" w:rsidRPr="005D14B7" w:rsidRDefault="00285F41" w:rsidP="00285F41">
            <w:pPr>
              <w:pStyle w:val="TableParagraph"/>
              <w:spacing w:line="290" w:lineRule="atLeast"/>
              <w:ind w:right="299"/>
              <w:rPr>
                <w:sz w:val="24"/>
                <w:szCs w:val="24"/>
                <w:lang w:val="cs-CZ"/>
              </w:rPr>
            </w:pPr>
          </w:p>
        </w:tc>
        <w:tc>
          <w:tcPr>
            <w:tcW w:w="0" w:type="auto"/>
          </w:tcPr>
          <w:p w14:paraId="76EDA4B2" w14:textId="77777777" w:rsidR="00285F41" w:rsidRPr="005D14B7" w:rsidRDefault="00285F41" w:rsidP="725F14BC">
            <w:pPr>
              <w:pStyle w:val="TableParagraph"/>
              <w:ind w:left="108"/>
              <w:rPr>
                <w:sz w:val="24"/>
                <w:szCs w:val="24"/>
                <w:lang w:val="cs-CZ"/>
              </w:rPr>
            </w:pPr>
            <w:r w:rsidRPr="725F14BC">
              <w:rPr>
                <w:sz w:val="24"/>
                <w:szCs w:val="24"/>
                <w:lang w:val="cs-CZ"/>
              </w:rPr>
              <w:lastRenderedPageBreak/>
              <w:t>100 %</w:t>
            </w:r>
          </w:p>
        </w:tc>
      </w:tr>
      <w:tr w:rsidR="00285F41" w14:paraId="696F0485" w14:textId="77777777" w:rsidTr="00D53428">
        <w:trPr>
          <w:trHeight w:val="1090"/>
        </w:trPr>
        <w:tc>
          <w:tcPr>
            <w:tcW w:w="0" w:type="auto"/>
            <w:vMerge/>
          </w:tcPr>
          <w:p w14:paraId="4DDBEF00" w14:textId="77777777" w:rsidR="00285F41" w:rsidRDefault="00285F41" w:rsidP="00262A26">
            <w:pPr>
              <w:rPr>
                <w:sz w:val="2"/>
                <w:szCs w:val="2"/>
              </w:rPr>
            </w:pPr>
          </w:p>
        </w:tc>
        <w:tc>
          <w:tcPr>
            <w:tcW w:w="0" w:type="auto"/>
            <w:vMerge/>
          </w:tcPr>
          <w:p w14:paraId="3461D779" w14:textId="77777777" w:rsidR="00285F41" w:rsidRPr="004F110D" w:rsidRDefault="00285F41" w:rsidP="00262A26">
            <w:pPr>
              <w:rPr>
                <w:sz w:val="2"/>
                <w:szCs w:val="2"/>
                <w:lang w:val="cs-CZ"/>
              </w:rPr>
            </w:pPr>
          </w:p>
        </w:tc>
        <w:tc>
          <w:tcPr>
            <w:tcW w:w="0" w:type="auto"/>
            <w:vMerge/>
          </w:tcPr>
          <w:p w14:paraId="3CF2D8B6" w14:textId="7294D3BF" w:rsidR="00285F41" w:rsidRPr="004F110D" w:rsidRDefault="00285F41" w:rsidP="725F14BC">
            <w:pPr>
              <w:pStyle w:val="TableParagraph"/>
              <w:spacing w:line="290" w:lineRule="atLeast"/>
              <w:ind w:left="108" w:right="299"/>
              <w:rPr>
                <w:sz w:val="2"/>
                <w:szCs w:val="2"/>
                <w:lang w:val="cs-CZ"/>
              </w:rPr>
            </w:pPr>
          </w:p>
        </w:tc>
        <w:tc>
          <w:tcPr>
            <w:tcW w:w="0" w:type="auto"/>
          </w:tcPr>
          <w:p w14:paraId="2BE5A4C3" w14:textId="77777777" w:rsidR="00285F41" w:rsidRPr="00572B4E" w:rsidRDefault="00285F41" w:rsidP="725F14BC">
            <w:pPr>
              <w:pStyle w:val="TableParagraph"/>
              <w:ind w:left="108" w:right="203"/>
              <w:rPr>
                <w:sz w:val="24"/>
                <w:szCs w:val="24"/>
                <w:lang w:val="cs-CZ"/>
              </w:rPr>
            </w:pPr>
            <w:r w:rsidRPr="725F14BC">
              <w:rPr>
                <w:sz w:val="24"/>
                <w:szCs w:val="24"/>
                <w:lang w:val="cs-CZ"/>
              </w:rPr>
              <w:t>25 %, pokud byla dodržena určitá míra uveřejnění, která umožnila možným dodavatelům přístup k zadávané veřejné zakázce</w:t>
            </w:r>
          </w:p>
        </w:tc>
      </w:tr>
      <w:tr w:rsidR="00285F41" w14:paraId="476313DC" w14:textId="77777777" w:rsidTr="00D53428">
        <w:trPr>
          <w:trHeight w:val="2563"/>
        </w:trPr>
        <w:tc>
          <w:tcPr>
            <w:tcW w:w="0" w:type="auto"/>
            <w:vMerge/>
          </w:tcPr>
          <w:p w14:paraId="690BE063" w14:textId="77777777" w:rsidR="00285F41" w:rsidRDefault="00285F41" w:rsidP="00262A26">
            <w:pPr>
              <w:rPr>
                <w:sz w:val="2"/>
                <w:szCs w:val="2"/>
              </w:rPr>
            </w:pPr>
          </w:p>
        </w:tc>
        <w:tc>
          <w:tcPr>
            <w:tcW w:w="0" w:type="auto"/>
            <w:vMerge/>
          </w:tcPr>
          <w:p w14:paraId="07AC36B2" w14:textId="77777777" w:rsidR="00285F41" w:rsidRPr="004F110D" w:rsidRDefault="00285F41" w:rsidP="00262A26">
            <w:pPr>
              <w:rPr>
                <w:sz w:val="2"/>
                <w:szCs w:val="2"/>
              </w:rPr>
            </w:pPr>
          </w:p>
        </w:tc>
        <w:tc>
          <w:tcPr>
            <w:tcW w:w="0" w:type="auto"/>
            <w:vMerge/>
          </w:tcPr>
          <w:p w14:paraId="74BB0062" w14:textId="269C506A" w:rsidR="00285F41" w:rsidRPr="004F110D" w:rsidRDefault="00285F41" w:rsidP="725F14BC">
            <w:pPr>
              <w:pStyle w:val="TableParagraph"/>
              <w:spacing w:line="290" w:lineRule="atLeast"/>
              <w:ind w:left="108" w:right="299"/>
              <w:rPr>
                <w:sz w:val="2"/>
                <w:szCs w:val="2"/>
              </w:rPr>
            </w:pPr>
          </w:p>
        </w:tc>
        <w:tc>
          <w:tcPr>
            <w:tcW w:w="0" w:type="auto"/>
          </w:tcPr>
          <w:p w14:paraId="450AB8DF" w14:textId="64FE1145" w:rsidR="00285F41" w:rsidRPr="00D74F64" w:rsidRDefault="00285F41" w:rsidP="00D53428">
            <w:pPr>
              <w:pStyle w:val="TableParagraph"/>
              <w:ind w:left="108" w:right="203"/>
              <w:rPr>
                <w:sz w:val="24"/>
                <w:szCs w:val="24"/>
                <w:lang w:val="cs-CZ"/>
              </w:rPr>
            </w:pPr>
            <w:r w:rsidRPr="00D74F64">
              <w:rPr>
                <w:sz w:val="24"/>
                <w:szCs w:val="24"/>
                <w:lang w:val="cs-CZ"/>
              </w:rPr>
              <w:t>10</w:t>
            </w:r>
            <w:r>
              <w:rPr>
                <w:sz w:val="24"/>
                <w:szCs w:val="24"/>
                <w:lang w:val="cs-CZ"/>
              </w:rPr>
              <w:t>-</w:t>
            </w:r>
            <w:r w:rsidRPr="00D74F64">
              <w:rPr>
                <w:sz w:val="24"/>
                <w:szCs w:val="24"/>
                <w:lang w:val="cs-CZ"/>
              </w:rPr>
              <w:t>15 %</w:t>
            </w:r>
            <w:r w:rsidR="00DD0117">
              <w:rPr>
                <w:sz w:val="24"/>
                <w:szCs w:val="24"/>
                <w:lang w:val="cs-CZ"/>
              </w:rPr>
              <w:t xml:space="preserve"> u VZ zadávaných mimo režim ZZVZ</w:t>
            </w:r>
            <w:r w:rsidRPr="00D74F64">
              <w:rPr>
                <w:sz w:val="24"/>
                <w:szCs w:val="24"/>
                <w:lang w:val="cs-CZ"/>
              </w:rPr>
              <w:t xml:space="preserve"> pokud došlo k rozdělení </w:t>
            </w:r>
            <w:r w:rsidR="00DD0117" w:rsidRPr="725F14BC">
              <w:rPr>
                <w:sz w:val="24"/>
                <w:szCs w:val="24"/>
                <w:lang w:val="cs-CZ"/>
              </w:rPr>
              <w:t>předmět</w:t>
            </w:r>
            <w:r w:rsidR="00DD0117">
              <w:rPr>
                <w:sz w:val="24"/>
                <w:szCs w:val="24"/>
                <w:lang w:val="cs-CZ"/>
              </w:rPr>
              <w:t>u</w:t>
            </w:r>
            <w:r w:rsidR="00DD0117" w:rsidRPr="725F14BC">
              <w:rPr>
                <w:sz w:val="24"/>
                <w:szCs w:val="24"/>
                <w:lang w:val="cs-CZ"/>
              </w:rPr>
              <w:t xml:space="preserve"> veřejné zakázky tak, že tím došlo </w:t>
            </w:r>
            <w:r w:rsidR="00DD0117">
              <w:rPr>
                <w:sz w:val="24"/>
                <w:szCs w:val="24"/>
                <w:lang w:val="cs-CZ"/>
              </w:rPr>
              <w:t xml:space="preserve">v rozporu s Interním pokynem KP/Pokynem pro zadávání VZMR </w:t>
            </w:r>
            <w:r w:rsidR="00DD0117" w:rsidRPr="725F14BC">
              <w:rPr>
                <w:sz w:val="24"/>
                <w:szCs w:val="24"/>
                <w:lang w:val="cs-CZ"/>
              </w:rPr>
              <w:t xml:space="preserve">ke snížení předpokládané hodnoty pod finanční limity stanovené </w:t>
            </w:r>
            <w:r w:rsidR="00DD0117">
              <w:rPr>
                <w:sz w:val="24"/>
                <w:szCs w:val="24"/>
                <w:lang w:val="cs-CZ"/>
              </w:rPr>
              <w:t xml:space="preserve">v </w:t>
            </w:r>
            <w:r w:rsidR="00DD0117" w:rsidRPr="725F14BC">
              <w:rPr>
                <w:sz w:val="24"/>
                <w:szCs w:val="24"/>
                <w:lang w:val="cs-CZ"/>
              </w:rPr>
              <w:t>Interním pokynu KP</w:t>
            </w:r>
            <w:r w:rsidR="00DD0117">
              <w:rPr>
                <w:sz w:val="24"/>
                <w:szCs w:val="24"/>
                <w:lang w:val="cs-CZ"/>
              </w:rPr>
              <w:t xml:space="preserve">/Pokynu pro zadávání VZMR </w:t>
            </w:r>
          </w:p>
        </w:tc>
      </w:tr>
      <w:tr w:rsidR="0094139E" w14:paraId="0728478D" w14:textId="77777777" w:rsidTr="00D53428">
        <w:trPr>
          <w:trHeight w:val="1171"/>
        </w:trPr>
        <w:tc>
          <w:tcPr>
            <w:tcW w:w="0" w:type="auto"/>
          </w:tcPr>
          <w:p w14:paraId="1F75A9DD" w14:textId="77777777" w:rsidR="0094139E" w:rsidRDefault="725F14BC" w:rsidP="725F14BC">
            <w:pPr>
              <w:pStyle w:val="TableParagraph"/>
              <w:ind w:left="107"/>
              <w:rPr>
                <w:sz w:val="24"/>
                <w:szCs w:val="24"/>
              </w:rPr>
            </w:pPr>
            <w:r w:rsidRPr="725F14BC">
              <w:rPr>
                <w:sz w:val="24"/>
                <w:szCs w:val="24"/>
              </w:rPr>
              <w:t>3.</w:t>
            </w:r>
          </w:p>
        </w:tc>
        <w:tc>
          <w:tcPr>
            <w:tcW w:w="0" w:type="auto"/>
          </w:tcPr>
          <w:p w14:paraId="227E701F" w14:textId="77777777" w:rsidR="0094139E" w:rsidRPr="005D14B7" w:rsidRDefault="725F14BC" w:rsidP="725F14BC">
            <w:pPr>
              <w:pStyle w:val="TableParagraph"/>
              <w:spacing w:line="290" w:lineRule="atLeast"/>
              <w:ind w:left="108" w:right="312"/>
              <w:rPr>
                <w:sz w:val="24"/>
                <w:szCs w:val="24"/>
                <w:lang w:val="cs-CZ"/>
              </w:rPr>
            </w:pPr>
            <w:r w:rsidRPr="725F14BC">
              <w:rPr>
                <w:sz w:val="24"/>
                <w:szCs w:val="24"/>
                <w:lang w:val="cs-CZ"/>
              </w:rPr>
              <w:t>Nezdůvodnění zadání nadlimitní veřejné zakázky bez rozdělení na části</w:t>
            </w:r>
          </w:p>
        </w:tc>
        <w:tc>
          <w:tcPr>
            <w:tcW w:w="0" w:type="auto"/>
          </w:tcPr>
          <w:p w14:paraId="7855E208" w14:textId="77777777" w:rsidR="0094139E" w:rsidRPr="005D14B7" w:rsidRDefault="725F14BC" w:rsidP="725F14BC">
            <w:pPr>
              <w:pStyle w:val="TableParagraph"/>
              <w:ind w:left="108" w:right="152"/>
              <w:rPr>
                <w:sz w:val="24"/>
                <w:szCs w:val="24"/>
                <w:lang w:val="cs-CZ"/>
              </w:rPr>
            </w:pPr>
            <w:r w:rsidRPr="725F14BC">
              <w:rPr>
                <w:sz w:val="24"/>
                <w:szCs w:val="24"/>
                <w:lang w:val="cs-CZ"/>
              </w:rPr>
              <w:t>Zadavatel nezdůvodnil zadání nadlimitní veřejné zakázky bez rozdělení na části</w:t>
            </w:r>
          </w:p>
        </w:tc>
        <w:tc>
          <w:tcPr>
            <w:tcW w:w="0" w:type="auto"/>
          </w:tcPr>
          <w:p w14:paraId="21BB57F7" w14:textId="77777777" w:rsidR="0094139E" w:rsidRPr="005D14B7" w:rsidRDefault="725F14BC" w:rsidP="725F14BC">
            <w:pPr>
              <w:pStyle w:val="TableParagraph"/>
              <w:ind w:left="108"/>
              <w:rPr>
                <w:sz w:val="24"/>
                <w:szCs w:val="24"/>
                <w:lang w:val="cs-CZ"/>
              </w:rPr>
            </w:pPr>
            <w:r w:rsidRPr="725F14BC">
              <w:rPr>
                <w:sz w:val="24"/>
                <w:szCs w:val="24"/>
                <w:lang w:val="cs-CZ"/>
              </w:rPr>
              <w:t>5 %</w:t>
            </w:r>
          </w:p>
        </w:tc>
      </w:tr>
      <w:tr w:rsidR="0094139E" w14:paraId="2A068FED" w14:textId="77777777" w:rsidTr="00D53428">
        <w:trPr>
          <w:trHeight w:val="1172"/>
        </w:trPr>
        <w:tc>
          <w:tcPr>
            <w:tcW w:w="0" w:type="auto"/>
          </w:tcPr>
          <w:p w14:paraId="0F9ABB3F" w14:textId="77777777" w:rsidR="0094139E" w:rsidRDefault="725F14BC" w:rsidP="725F14BC">
            <w:pPr>
              <w:pStyle w:val="TableParagraph"/>
              <w:spacing w:line="292" w:lineRule="exact"/>
              <w:ind w:left="107"/>
              <w:rPr>
                <w:sz w:val="24"/>
                <w:szCs w:val="24"/>
              </w:rPr>
            </w:pPr>
            <w:r w:rsidRPr="725F14BC">
              <w:rPr>
                <w:sz w:val="24"/>
                <w:szCs w:val="24"/>
              </w:rPr>
              <w:t>4.</w:t>
            </w:r>
          </w:p>
        </w:tc>
        <w:tc>
          <w:tcPr>
            <w:tcW w:w="0" w:type="auto"/>
          </w:tcPr>
          <w:p w14:paraId="6F01B984" w14:textId="24FC9ABB" w:rsidR="0094139E" w:rsidRPr="005D14B7" w:rsidRDefault="725F14BC" w:rsidP="725F14BC">
            <w:pPr>
              <w:pStyle w:val="TableParagraph"/>
              <w:ind w:left="108" w:right="156"/>
              <w:rPr>
                <w:sz w:val="24"/>
                <w:szCs w:val="24"/>
                <w:lang w:val="cs-CZ"/>
              </w:rPr>
            </w:pPr>
            <w:r w:rsidRPr="725F14BC">
              <w:rPr>
                <w:sz w:val="24"/>
                <w:szCs w:val="24"/>
                <w:lang w:val="cs-CZ"/>
              </w:rPr>
              <w:t>Nezveřejnění výzvy pro VZMR</w:t>
            </w:r>
            <w:r w:rsidR="00285F41">
              <w:rPr>
                <w:sz w:val="24"/>
                <w:szCs w:val="24"/>
                <w:lang w:val="cs-CZ"/>
              </w:rPr>
              <w:t>, pokud tak bylo nutné učinit dle Interního předpisu KP/Pokynu pro zadávání VZMR</w:t>
            </w:r>
          </w:p>
        </w:tc>
        <w:tc>
          <w:tcPr>
            <w:tcW w:w="0" w:type="auto"/>
          </w:tcPr>
          <w:p w14:paraId="2302F472" w14:textId="77777777" w:rsidR="0094139E" w:rsidRPr="005D14B7" w:rsidRDefault="725F14BC" w:rsidP="725F14BC">
            <w:pPr>
              <w:pStyle w:val="TableParagraph"/>
              <w:ind w:left="108" w:right="361"/>
              <w:rPr>
                <w:sz w:val="24"/>
                <w:szCs w:val="24"/>
                <w:lang w:val="cs-CZ"/>
              </w:rPr>
            </w:pPr>
            <w:r w:rsidRPr="725F14BC">
              <w:rPr>
                <w:sz w:val="24"/>
                <w:szCs w:val="24"/>
                <w:lang w:val="cs-CZ"/>
              </w:rPr>
              <w:t>Nezveřejnění výzvy k podání nabídek a/nebo zadávací</w:t>
            </w:r>
          </w:p>
          <w:p w14:paraId="005DACE2" w14:textId="46ECEBD7" w:rsidR="0094139E" w:rsidRPr="005D14B7" w:rsidRDefault="725F14BC" w:rsidP="00285F41">
            <w:pPr>
              <w:pStyle w:val="TableParagraph"/>
              <w:spacing w:line="290" w:lineRule="atLeast"/>
              <w:ind w:left="108" w:right="750"/>
              <w:rPr>
                <w:sz w:val="24"/>
                <w:szCs w:val="24"/>
                <w:lang w:val="cs-CZ"/>
              </w:rPr>
            </w:pPr>
            <w:r w:rsidRPr="725F14BC">
              <w:rPr>
                <w:sz w:val="24"/>
                <w:szCs w:val="24"/>
                <w:lang w:val="cs-CZ"/>
              </w:rPr>
              <w:t xml:space="preserve">dokumentace pro VZMR </w:t>
            </w:r>
            <w:r w:rsidR="00285F41">
              <w:rPr>
                <w:sz w:val="24"/>
                <w:szCs w:val="24"/>
                <w:lang w:val="cs-CZ"/>
              </w:rPr>
              <w:t>(</w:t>
            </w:r>
            <w:r w:rsidRPr="725F14BC">
              <w:rPr>
                <w:sz w:val="24"/>
                <w:szCs w:val="24"/>
                <w:lang w:val="cs-CZ"/>
              </w:rPr>
              <w:t>jeli stanoveno</w:t>
            </w:r>
            <w:r w:rsidR="00285F41">
              <w:rPr>
                <w:sz w:val="24"/>
                <w:szCs w:val="24"/>
                <w:lang w:val="cs-CZ"/>
              </w:rPr>
              <w:t>).</w:t>
            </w:r>
          </w:p>
        </w:tc>
        <w:tc>
          <w:tcPr>
            <w:tcW w:w="0" w:type="auto"/>
          </w:tcPr>
          <w:p w14:paraId="41A97FC2" w14:textId="77777777" w:rsidR="0094139E" w:rsidRPr="005D14B7" w:rsidRDefault="725F14BC" w:rsidP="725F14BC">
            <w:pPr>
              <w:pStyle w:val="TableParagraph"/>
              <w:spacing w:line="292" w:lineRule="exact"/>
              <w:ind w:left="108"/>
              <w:rPr>
                <w:sz w:val="24"/>
                <w:szCs w:val="24"/>
                <w:lang w:val="cs-CZ"/>
              </w:rPr>
            </w:pPr>
            <w:r w:rsidRPr="725F14BC">
              <w:rPr>
                <w:sz w:val="24"/>
                <w:szCs w:val="24"/>
                <w:lang w:val="cs-CZ"/>
              </w:rPr>
              <w:t>10–15 %</w:t>
            </w:r>
          </w:p>
        </w:tc>
      </w:tr>
      <w:tr w:rsidR="00934A4A" w14:paraId="7B397860" w14:textId="77777777" w:rsidTr="00D53428">
        <w:trPr>
          <w:trHeight w:val="1595"/>
        </w:trPr>
        <w:tc>
          <w:tcPr>
            <w:tcW w:w="0" w:type="auto"/>
          </w:tcPr>
          <w:p w14:paraId="56C72689" w14:textId="77777777" w:rsidR="00934A4A" w:rsidRDefault="725F14BC" w:rsidP="725F14BC">
            <w:pPr>
              <w:pStyle w:val="TableParagraph"/>
              <w:spacing w:line="292" w:lineRule="exact"/>
              <w:ind w:left="107"/>
              <w:rPr>
                <w:sz w:val="24"/>
                <w:szCs w:val="24"/>
              </w:rPr>
            </w:pPr>
            <w:r w:rsidRPr="725F14BC">
              <w:rPr>
                <w:sz w:val="24"/>
                <w:szCs w:val="24"/>
              </w:rPr>
              <w:t>5.</w:t>
            </w:r>
          </w:p>
        </w:tc>
        <w:tc>
          <w:tcPr>
            <w:tcW w:w="0" w:type="auto"/>
          </w:tcPr>
          <w:p w14:paraId="721C7BC3" w14:textId="0F0C5F13" w:rsidR="00934A4A" w:rsidRPr="005D14B7" w:rsidRDefault="725F14BC" w:rsidP="725F14BC">
            <w:pPr>
              <w:pStyle w:val="TableParagraph"/>
              <w:ind w:left="108" w:right="165"/>
              <w:rPr>
                <w:sz w:val="24"/>
                <w:szCs w:val="24"/>
                <w:lang w:val="cs-CZ"/>
              </w:rPr>
            </w:pPr>
            <w:r w:rsidRPr="725F14BC">
              <w:rPr>
                <w:sz w:val="24"/>
                <w:szCs w:val="24"/>
                <w:lang w:val="cs-CZ"/>
              </w:rPr>
              <w:t>Nepředložení dokumentace k veřejné zakázce dle Pokynu pro příjemce finanční podpory</w:t>
            </w:r>
          </w:p>
        </w:tc>
        <w:tc>
          <w:tcPr>
            <w:tcW w:w="0" w:type="auto"/>
          </w:tcPr>
          <w:p w14:paraId="6ABC0F41" w14:textId="13BA3A46" w:rsidR="00934A4A" w:rsidRPr="005D14B7" w:rsidRDefault="725F14BC" w:rsidP="725F14BC">
            <w:pPr>
              <w:pStyle w:val="TableParagraph"/>
              <w:ind w:left="108" w:right="232"/>
              <w:rPr>
                <w:sz w:val="24"/>
                <w:szCs w:val="24"/>
                <w:lang w:val="cs-CZ"/>
              </w:rPr>
            </w:pPr>
            <w:r w:rsidRPr="725F14BC">
              <w:rPr>
                <w:sz w:val="24"/>
                <w:szCs w:val="24"/>
                <w:lang w:val="cs-CZ"/>
              </w:rPr>
              <w:t>Zadavatel nepředložil VK dokumentaci k veřejné zakázce dle Pokynu pro příjemce finanční podpory</w:t>
            </w:r>
          </w:p>
          <w:p w14:paraId="46C394EE" w14:textId="6D155CF3" w:rsidR="00934A4A" w:rsidRPr="005D14B7" w:rsidRDefault="00934A4A" w:rsidP="75018074">
            <w:pPr>
              <w:pStyle w:val="TableParagraph"/>
              <w:spacing w:before="1" w:line="290" w:lineRule="atLeast"/>
              <w:ind w:left="108" w:right="482"/>
              <w:rPr>
                <w:sz w:val="24"/>
                <w:szCs w:val="24"/>
                <w:lang w:val="cs-CZ"/>
              </w:rPr>
            </w:pPr>
          </w:p>
        </w:tc>
        <w:tc>
          <w:tcPr>
            <w:tcW w:w="0" w:type="auto"/>
          </w:tcPr>
          <w:p w14:paraId="34DC486A" w14:textId="77777777" w:rsidR="00934A4A" w:rsidRPr="005D14B7" w:rsidRDefault="725F14BC" w:rsidP="725F14BC">
            <w:pPr>
              <w:pStyle w:val="TableParagraph"/>
              <w:spacing w:line="292" w:lineRule="exact"/>
              <w:ind w:left="108"/>
              <w:rPr>
                <w:sz w:val="24"/>
                <w:szCs w:val="24"/>
                <w:lang w:val="cs-CZ"/>
              </w:rPr>
            </w:pPr>
            <w:r w:rsidRPr="725F14BC">
              <w:rPr>
                <w:sz w:val="24"/>
                <w:szCs w:val="24"/>
                <w:lang w:val="cs-CZ"/>
              </w:rPr>
              <w:t>0–5 %</w:t>
            </w:r>
          </w:p>
        </w:tc>
      </w:tr>
      <w:tr w:rsidR="00662742" w14:paraId="11CB95B0" w14:textId="77777777" w:rsidTr="00D53428">
        <w:trPr>
          <w:trHeight w:val="1089"/>
        </w:trPr>
        <w:tc>
          <w:tcPr>
            <w:tcW w:w="0" w:type="auto"/>
            <w:vMerge w:val="restart"/>
          </w:tcPr>
          <w:p w14:paraId="73D116AD" w14:textId="77777777" w:rsidR="00662742" w:rsidRDefault="725F14BC" w:rsidP="725F14BC">
            <w:pPr>
              <w:pStyle w:val="TableParagraph"/>
              <w:spacing w:line="292" w:lineRule="exact"/>
              <w:ind w:left="107"/>
              <w:rPr>
                <w:sz w:val="24"/>
                <w:szCs w:val="24"/>
              </w:rPr>
            </w:pPr>
            <w:r w:rsidRPr="725F14BC">
              <w:rPr>
                <w:sz w:val="24"/>
                <w:szCs w:val="24"/>
              </w:rPr>
              <w:t>6.</w:t>
            </w:r>
          </w:p>
          <w:p w14:paraId="375FD266" w14:textId="4DEC4B4B" w:rsidR="00662742" w:rsidRDefault="00662742" w:rsidP="00262A26">
            <w:pPr>
              <w:pStyle w:val="TableParagraph"/>
              <w:spacing w:line="292" w:lineRule="exact"/>
              <w:ind w:left="107"/>
              <w:rPr>
                <w:sz w:val="24"/>
              </w:rPr>
            </w:pPr>
          </w:p>
          <w:p w14:paraId="4BC6DBBF" w14:textId="30F54F34" w:rsidR="00662742" w:rsidRDefault="00662742" w:rsidP="00262A26">
            <w:pPr>
              <w:pStyle w:val="TableParagraph"/>
              <w:spacing w:line="292" w:lineRule="exact"/>
              <w:ind w:left="107"/>
              <w:rPr>
                <w:sz w:val="24"/>
              </w:rPr>
            </w:pPr>
          </w:p>
        </w:tc>
        <w:tc>
          <w:tcPr>
            <w:tcW w:w="0" w:type="auto"/>
            <w:vMerge w:val="restart"/>
          </w:tcPr>
          <w:p w14:paraId="559E967E" w14:textId="77777777" w:rsidR="00662742" w:rsidRPr="005D14B7" w:rsidRDefault="00662742" w:rsidP="725F14BC">
            <w:pPr>
              <w:pStyle w:val="TableParagraph"/>
              <w:ind w:left="108" w:right="390"/>
              <w:rPr>
                <w:sz w:val="24"/>
                <w:szCs w:val="24"/>
                <w:lang w:val="cs-CZ"/>
              </w:rPr>
            </w:pPr>
            <w:r w:rsidRPr="725F14BC">
              <w:rPr>
                <w:sz w:val="24"/>
                <w:szCs w:val="24"/>
                <w:lang w:val="cs-CZ"/>
              </w:rPr>
              <w:t>Nedodržení minimálních lhůt</w:t>
            </w:r>
            <w:r w:rsidRPr="725F14BC">
              <w:rPr>
                <w:spacing w:val="-7"/>
                <w:sz w:val="24"/>
                <w:szCs w:val="24"/>
                <w:lang w:val="cs-CZ"/>
              </w:rPr>
              <w:t xml:space="preserve"> </w:t>
            </w:r>
            <w:r w:rsidRPr="725F14BC">
              <w:rPr>
                <w:sz w:val="24"/>
                <w:szCs w:val="24"/>
                <w:lang w:val="cs-CZ"/>
              </w:rPr>
              <w:t>pro</w:t>
            </w:r>
          </w:p>
          <w:p w14:paraId="2AE4CB10" w14:textId="0A2082A2" w:rsidR="00662742" w:rsidRPr="005D14B7" w:rsidRDefault="00662742" w:rsidP="00036359">
            <w:pPr>
              <w:pStyle w:val="TableParagraph"/>
              <w:spacing w:line="274" w:lineRule="exact"/>
              <w:ind w:left="108"/>
              <w:rPr>
                <w:sz w:val="24"/>
                <w:szCs w:val="24"/>
                <w:lang w:val="cs-CZ"/>
              </w:rPr>
            </w:pPr>
            <w:r w:rsidRPr="725F14BC">
              <w:rPr>
                <w:sz w:val="24"/>
                <w:szCs w:val="24"/>
                <w:lang w:val="cs-CZ"/>
              </w:rPr>
              <w:t>podání nabídek</w:t>
            </w:r>
            <w:r w:rsidRPr="725F14BC">
              <w:rPr>
                <w:spacing w:val="-12"/>
                <w:sz w:val="24"/>
                <w:szCs w:val="24"/>
                <w:lang w:val="cs-CZ"/>
              </w:rPr>
              <w:t xml:space="preserve"> </w:t>
            </w:r>
            <w:r w:rsidRPr="725F14BC">
              <w:rPr>
                <w:sz w:val="24"/>
                <w:szCs w:val="24"/>
                <w:lang w:val="cs-CZ"/>
              </w:rPr>
              <w:t>nebo pro doručení žádosti o účast</w:t>
            </w:r>
          </w:p>
        </w:tc>
        <w:tc>
          <w:tcPr>
            <w:tcW w:w="0" w:type="auto"/>
            <w:vMerge w:val="restart"/>
          </w:tcPr>
          <w:p w14:paraId="61568982" w14:textId="77777777" w:rsidR="00662742" w:rsidRPr="005D14B7" w:rsidRDefault="725F14BC" w:rsidP="725F14BC">
            <w:pPr>
              <w:pStyle w:val="TableParagraph"/>
              <w:ind w:left="108" w:right="243"/>
              <w:rPr>
                <w:sz w:val="24"/>
                <w:szCs w:val="24"/>
                <w:lang w:val="cs-CZ"/>
              </w:rPr>
            </w:pPr>
            <w:r w:rsidRPr="725F14BC">
              <w:rPr>
                <w:sz w:val="24"/>
                <w:szCs w:val="24"/>
                <w:lang w:val="cs-CZ"/>
              </w:rPr>
              <w:t>Zadavatel stanovil lhůtu pro podání nabídek, předběžných</w:t>
            </w:r>
          </w:p>
          <w:p w14:paraId="305FF538" w14:textId="5F1F46E5" w:rsidR="00662742" w:rsidRPr="005D14B7" w:rsidRDefault="725F14BC" w:rsidP="725F14BC">
            <w:pPr>
              <w:pStyle w:val="TableParagraph"/>
              <w:spacing w:line="274" w:lineRule="exact"/>
              <w:ind w:left="108"/>
              <w:rPr>
                <w:sz w:val="24"/>
                <w:szCs w:val="24"/>
                <w:lang w:val="cs-CZ"/>
              </w:rPr>
            </w:pPr>
            <w:r w:rsidRPr="725F14BC">
              <w:rPr>
                <w:sz w:val="24"/>
                <w:szCs w:val="24"/>
                <w:lang w:val="cs-CZ"/>
              </w:rPr>
              <w:t xml:space="preserve">nabídek nebo žádostí o účast tak, že jejich délka nedosahovala minimálních lhůt stanovených v ZZVZ/ v Pokynu pro </w:t>
            </w:r>
            <w:r w:rsidR="00285F41">
              <w:rPr>
                <w:sz w:val="24"/>
                <w:szCs w:val="24"/>
                <w:lang w:val="cs-CZ"/>
              </w:rPr>
              <w:t xml:space="preserve">zadávání </w:t>
            </w:r>
            <w:r w:rsidRPr="725F14BC">
              <w:rPr>
                <w:sz w:val="24"/>
                <w:szCs w:val="24"/>
                <w:lang w:val="cs-CZ"/>
              </w:rPr>
              <w:t>VZMR/Interním nařízení KP</w:t>
            </w:r>
          </w:p>
        </w:tc>
        <w:tc>
          <w:tcPr>
            <w:tcW w:w="0" w:type="auto"/>
          </w:tcPr>
          <w:p w14:paraId="4939FC87" w14:textId="77777777" w:rsidR="00662742" w:rsidRPr="005D14B7" w:rsidRDefault="725F14BC" w:rsidP="725F14BC">
            <w:pPr>
              <w:pStyle w:val="TableParagraph"/>
              <w:ind w:left="108" w:right="180"/>
              <w:rPr>
                <w:sz w:val="24"/>
                <w:szCs w:val="24"/>
                <w:lang w:val="cs-CZ"/>
              </w:rPr>
            </w:pPr>
            <w:r w:rsidRPr="725F14BC">
              <w:rPr>
                <w:sz w:val="24"/>
                <w:szCs w:val="24"/>
                <w:lang w:val="cs-CZ"/>
              </w:rPr>
              <w:t>25 %, pokud je zkrácení vyšší nebo rovno 50 % délky</w:t>
            </w:r>
          </w:p>
          <w:p w14:paraId="7ED376FB" w14:textId="77777777" w:rsidR="00662742" w:rsidRPr="005D14B7" w:rsidRDefault="725F14BC" w:rsidP="725F14BC">
            <w:pPr>
              <w:pStyle w:val="TableParagraph"/>
              <w:spacing w:line="274" w:lineRule="exact"/>
              <w:ind w:left="108"/>
              <w:rPr>
                <w:sz w:val="24"/>
                <w:szCs w:val="24"/>
                <w:lang w:val="cs-CZ"/>
              </w:rPr>
            </w:pPr>
            <w:r w:rsidRPr="725F14BC">
              <w:rPr>
                <w:sz w:val="24"/>
                <w:szCs w:val="24"/>
                <w:lang w:val="cs-CZ"/>
              </w:rPr>
              <w:t>minimální lhůty</w:t>
            </w:r>
          </w:p>
        </w:tc>
      </w:tr>
      <w:tr w:rsidR="00662742" w14:paraId="4A73AA78" w14:textId="77777777" w:rsidTr="00D53428">
        <w:trPr>
          <w:trHeight w:val="1089"/>
        </w:trPr>
        <w:tc>
          <w:tcPr>
            <w:tcW w:w="0" w:type="auto"/>
            <w:vMerge/>
          </w:tcPr>
          <w:p w14:paraId="440AC186" w14:textId="23DDA252" w:rsidR="00662742" w:rsidRDefault="00662742" w:rsidP="00262A26">
            <w:pPr>
              <w:pStyle w:val="TableParagraph"/>
              <w:spacing w:line="292" w:lineRule="exact"/>
              <w:ind w:left="107"/>
              <w:rPr>
                <w:sz w:val="24"/>
              </w:rPr>
            </w:pPr>
          </w:p>
        </w:tc>
        <w:tc>
          <w:tcPr>
            <w:tcW w:w="0" w:type="auto"/>
            <w:vMerge/>
          </w:tcPr>
          <w:p w14:paraId="6BAF1662" w14:textId="77777777" w:rsidR="00662742" w:rsidRDefault="00662742" w:rsidP="00262A26">
            <w:pPr>
              <w:pStyle w:val="TableParagraph"/>
              <w:ind w:left="108" w:right="390"/>
              <w:rPr>
                <w:sz w:val="24"/>
              </w:rPr>
            </w:pPr>
          </w:p>
        </w:tc>
        <w:tc>
          <w:tcPr>
            <w:tcW w:w="0" w:type="auto"/>
            <w:vMerge/>
          </w:tcPr>
          <w:p w14:paraId="36FA8C3D" w14:textId="77777777" w:rsidR="00662742" w:rsidRDefault="00662742" w:rsidP="00262A26">
            <w:pPr>
              <w:pStyle w:val="TableParagraph"/>
              <w:ind w:left="108" w:right="243"/>
              <w:rPr>
                <w:sz w:val="24"/>
              </w:rPr>
            </w:pPr>
          </w:p>
        </w:tc>
        <w:tc>
          <w:tcPr>
            <w:tcW w:w="0" w:type="auto"/>
          </w:tcPr>
          <w:p w14:paraId="44E2C385" w14:textId="0EF2A08A" w:rsidR="00662742" w:rsidRDefault="725F14BC" w:rsidP="725F14BC">
            <w:pPr>
              <w:pStyle w:val="TableParagraph"/>
              <w:ind w:left="108" w:right="180"/>
              <w:rPr>
                <w:sz w:val="24"/>
                <w:szCs w:val="24"/>
              </w:rPr>
            </w:pPr>
            <w:r w:rsidRPr="725F14BC">
              <w:rPr>
                <w:sz w:val="24"/>
                <w:szCs w:val="24"/>
                <w:lang w:val="cs-CZ"/>
              </w:rPr>
              <w:t>10 %, pokud je zkrácení vyšší nebo rovno 30 % délky minimální lhůty (ale méně než 50 %)</w:t>
            </w:r>
          </w:p>
        </w:tc>
      </w:tr>
      <w:tr w:rsidR="00662742" w14:paraId="17DE8467" w14:textId="77777777" w:rsidTr="00D53428">
        <w:trPr>
          <w:trHeight w:val="1089"/>
        </w:trPr>
        <w:tc>
          <w:tcPr>
            <w:tcW w:w="0" w:type="auto"/>
            <w:vMerge/>
          </w:tcPr>
          <w:p w14:paraId="0E83E902" w14:textId="6D3F9C54" w:rsidR="00662742" w:rsidRDefault="00662742" w:rsidP="00262A26">
            <w:pPr>
              <w:pStyle w:val="TableParagraph"/>
              <w:spacing w:line="292" w:lineRule="exact"/>
              <w:ind w:left="107"/>
              <w:rPr>
                <w:sz w:val="24"/>
              </w:rPr>
            </w:pPr>
          </w:p>
        </w:tc>
        <w:tc>
          <w:tcPr>
            <w:tcW w:w="0" w:type="auto"/>
            <w:vMerge/>
          </w:tcPr>
          <w:p w14:paraId="758E9EE8" w14:textId="77777777" w:rsidR="00662742" w:rsidRDefault="00662742" w:rsidP="00262A26">
            <w:pPr>
              <w:pStyle w:val="TableParagraph"/>
              <w:ind w:left="108" w:right="390"/>
              <w:rPr>
                <w:sz w:val="24"/>
              </w:rPr>
            </w:pPr>
          </w:p>
        </w:tc>
        <w:tc>
          <w:tcPr>
            <w:tcW w:w="0" w:type="auto"/>
            <w:vMerge/>
          </w:tcPr>
          <w:p w14:paraId="7B73186C" w14:textId="77777777" w:rsidR="00662742" w:rsidRDefault="00662742" w:rsidP="00262A26">
            <w:pPr>
              <w:pStyle w:val="TableParagraph"/>
              <w:ind w:left="108" w:right="243"/>
              <w:rPr>
                <w:sz w:val="24"/>
              </w:rPr>
            </w:pPr>
          </w:p>
        </w:tc>
        <w:tc>
          <w:tcPr>
            <w:tcW w:w="0" w:type="auto"/>
          </w:tcPr>
          <w:p w14:paraId="1554A9FB" w14:textId="77777777" w:rsidR="00662742" w:rsidRPr="005D14B7" w:rsidRDefault="725F14BC" w:rsidP="725F14BC">
            <w:pPr>
              <w:pStyle w:val="TableParagraph"/>
              <w:spacing w:line="292" w:lineRule="exact"/>
              <w:ind w:left="108"/>
              <w:rPr>
                <w:sz w:val="24"/>
                <w:szCs w:val="24"/>
                <w:lang w:val="cs-CZ"/>
              </w:rPr>
            </w:pPr>
            <w:r w:rsidRPr="725F14BC">
              <w:rPr>
                <w:sz w:val="24"/>
                <w:szCs w:val="24"/>
                <w:lang w:val="cs-CZ"/>
              </w:rPr>
              <w:t>5 %, pokud je zkrácení nižší</w:t>
            </w:r>
          </w:p>
          <w:p w14:paraId="097CE80A" w14:textId="6C09D068" w:rsidR="00662742" w:rsidRPr="005D14B7" w:rsidRDefault="725F14BC" w:rsidP="725F14BC">
            <w:pPr>
              <w:pStyle w:val="TableParagraph"/>
              <w:ind w:left="108" w:right="180"/>
              <w:rPr>
                <w:sz w:val="24"/>
                <w:szCs w:val="24"/>
              </w:rPr>
            </w:pPr>
            <w:r w:rsidRPr="725F14BC">
              <w:rPr>
                <w:sz w:val="24"/>
                <w:szCs w:val="24"/>
                <w:lang w:val="cs-CZ"/>
              </w:rPr>
              <w:t>než 30 % délky minimální lhůty</w:t>
            </w:r>
          </w:p>
        </w:tc>
      </w:tr>
      <w:tr w:rsidR="000E38BA" w:rsidRPr="005D14B7" w14:paraId="4F432D0E" w14:textId="77777777" w:rsidTr="00D53428">
        <w:trPr>
          <w:trHeight w:val="2344"/>
        </w:trPr>
        <w:tc>
          <w:tcPr>
            <w:tcW w:w="0" w:type="auto"/>
            <w:tcBorders>
              <w:bottom w:val="single" w:sz="4" w:space="0" w:color="000000"/>
            </w:tcBorders>
          </w:tcPr>
          <w:p w14:paraId="04A52EBD" w14:textId="1D66E8E1" w:rsidR="000E38BA" w:rsidRPr="005D14B7" w:rsidRDefault="725F14BC" w:rsidP="725F14BC">
            <w:pPr>
              <w:pStyle w:val="TableParagraph"/>
              <w:ind w:left="0"/>
              <w:rPr>
                <w:rFonts w:ascii="Times New Roman"/>
                <w:sz w:val="24"/>
                <w:szCs w:val="24"/>
                <w:lang w:val="cs-CZ"/>
              </w:rPr>
            </w:pPr>
            <w:r w:rsidRPr="725F14BC">
              <w:rPr>
                <w:sz w:val="24"/>
                <w:szCs w:val="24"/>
                <w:lang w:val="cs-CZ"/>
              </w:rPr>
              <w:lastRenderedPageBreak/>
              <w:t>7.</w:t>
            </w:r>
          </w:p>
          <w:p w14:paraId="5997CC1D" w14:textId="41706082" w:rsidR="000E38BA" w:rsidRPr="005D14B7" w:rsidRDefault="000E38BA" w:rsidP="00262A26">
            <w:pPr>
              <w:pStyle w:val="TableParagraph"/>
              <w:ind w:left="0"/>
              <w:rPr>
                <w:rFonts w:ascii="Times New Roman"/>
                <w:sz w:val="24"/>
                <w:lang w:val="cs-CZ"/>
              </w:rPr>
            </w:pPr>
          </w:p>
        </w:tc>
        <w:tc>
          <w:tcPr>
            <w:tcW w:w="0" w:type="auto"/>
            <w:tcBorders>
              <w:bottom w:val="single" w:sz="4" w:space="0" w:color="000000"/>
            </w:tcBorders>
          </w:tcPr>
          <w:p w14:paraId="044901D1" w14:textId="77777777" w:rsidR="000E38BA" w:rsidRPr="005D14B7" w:rsidRDefault="725F14BC" w:rsidP="725F14BC">
            <w:pPr>
              <w:pStyle w:val="TableParagraph"/>
              <w:ind w:left="108" w:right="717"/>
              <w:rPr>
                <w:sz w:val="24"/>
                <w:szCs w:val="24"/>
                <w:lang w:val="cs-CZ"/>
              </w:rPr>
            </w:pPr>
            <w:r w:rsidRPr="725F14BC">
              <w:rPr>
                <w:sz w:val="24"/>
                <w:szCs w:val="24"/>
                <w:lang w:val="cs-CZ"/>
              </w:rPr>
              <w:t>Neprodloužení lhůty pro podání nabídek, předběžných nabídek nebo žádostí o účast</w:t>
            </w:r>
          </w:p>
          <w:p w14:paraId="20AF321D" w14:textId="4FD12CD5" w:rsidR="000E38BA" w:rsidRPr="005D14B7" w:rsidRDefault="000E38BA" w:rsidP="00262A26">
            <w:pPr>
              <w:pStyle w:val="TableParagraph"/>
              <w:ind w:left="108" w:right="717"/>
              <w:rPr>
                <w:sz w:val="24"/>
                <w:lang w:val="cs-CZ"/>
              </w:rPr>
            </w:pPr>
          </w:p>
        </w:tc>
        <w:tc>
          <w:tcPr>
            <w:tcW w:w="0" w:type="auto"/>
            <w:tcBorders>
              <w:bottom w:val="single" w:sz="4" w:space="0" w:color="000000"/>
            </w:tcBorders>
          </w:tcPr>
          <w:p w14:paraId="363FDBB1" w14:textId="64278314" w:rsidR="000E38BA" w:rsidRPr="005D14B7" w:rsidRDefault="725F14BC" w:rsidP="725F14BC">
            <w:pPr>
              <w:pStyle w:val="TableParagraph"/>
              <w:ind w:left="108" w:right="238"/>
              <w:rPr>
                <w:sz w:val="24"/>
                <w:szCs w:val="24"/>
                <w:lang w:val="cs-CZ"/>
              </w:rPr>
            </w:pPr>
            <w:r w:rsidRPr="725F14BC">
              <w:rPr>
                <w:sz w:val="24"/>
                <w:szCs w:val="24"/>
                <w:lang w:val="cs-CZ"/>
              </w:rPr>
              <w:t>Zadavatel neprodloužil lhůty pro podání nabídek v souladu se ZZVZ/Pokyn</w:t>
            </w:r>
            <w:r w:rsidR="00036359">
              <w:rPr>
                <w:sz w:val="24"/>
                <w:szCs w:val="24"/>
                <w:lang w:val="cs-CZ"/>
              </w:rPr>
              <w:t>em</w:t>
            </w:r>
            <w:r w:rsidRPr="725F14BC">
              <w:rPr>
                <w:sz w:val="24"/>
                <w:szCs w:val="24"/>
                <w:lang w:val="cs-CZ"/>
              </w:rPr>
              <w:t xml:space="preserve"> pro </w:t>
            </w:r>
            <w:r w:rsidR="00036359">
              <w:rPr>
                <w:sz w:val="24"/>
                <w:szCs w:val="24"/>
                <w:lang w:val="cs-CZ"/>
              </w:rPr>
              <w:t xml:space="preserve">zadávání </w:t>
            </w:r>
            <w:r w:rsidRPr="725F14BC">
              <w:rPr>
                <w:sz w:val="24"/>
                <w:szCs w:val="24"/>
                <w:lang w:val="cs-CZ"/>
              </w:rPr>
              <w:t>VZMR/Interním nařízení KP, pokud došlo</w:t>
            </w:r>
          </w:p>
          <w:p w14:paraId="4073423B" w14:textId="77777777" w:rsidR="000E38BA" w:rsidRPr="005D14B7" w:rsidRDefault="725F14BC" w:rsidP="725F14BC">
            <w:pPr>
              <w:pStyle w:val="TableParagraph"/>
              <w:ind w:left="108" w:right="204"/>
              <w:rPr>
                <w:sz w:val="24"/>
                <w:szCs w:val="24"/>
                <w:lang w:val="cs-CZ"/>
              </w:rPr>
            </w:pPr>
            <w:r w:rsidRPr="725F14BC">
              <w:rPr>
                <w:sz w:val="24"/>
                <w:szCs w:val="24"/>
                <w:lang w:val="cs-CZ"/>
              </w:rPr>
              <w:t>k významným změnám v zadávací dokumentaci</w:t>
            </w:r>
          </w:p>
          <w:p w14:paraId="372D6D78" w14:textId="78ACC6AE" w:rsidR="000E38BA" w:rsidRPr="005D14B7" w:rsidRDefault="000E38BA" w:rsidP="00262A26">
            <w:pPr>
              <w:pStyle w:val="TableParagraph"/>
              <w:ind w:left="108" w:right="204"/>
              <w:rPr>
                <w:sz w:val="24"/>
                <w:lang w:val="cs-CZ"/>
              </w:rPr>
            </w:pPr>
          </w:p>
        </w:tc>
        <w:tc>
          <w:tcPr>
            <w:tcW w:w="0" w:type="auto"/>
            <w:tcBorders>
              <w:bottom w:val="single" w:sz="4" w:space="0" w:color="000000"/>
            </w:tcBorders>
          </w:tcPr>
          <w:p w14:paraId="20C07671" w14:textId="08086AAA" w:rsidR="000E38BA" w:rsidRPr="005D14B7" w:rsidRDefault="725F14BC" w:rsidP="725F14BC">
            <w:pPr>
              <w:pStyle w:val="TableParagraph"/>
              <w:spacing w:line="290" w:lineRule="atLeast"/>
              <w:ind w:left="108" w:right="180"/>
              <w:rPr>
                <w:sz w:val="24"/>
                <w:szCs w:val="24"/>
                <w:lang w:val="cs-CZ"/>
              </w:rPr>
            </w:pPr>
            <w:r w:rsidRPr="725F14BC">
              <w:rPr>
                <w:sz w:val="24"/>
                <w:szCs w:val="24"/>
                <w:lang w:val="cs-CZ"/>
              </w:rPr>
              <w:t>10 %</w:t>
            </w:r>
          </w:p>
          <w:p w14:paraId="446DA45B" w14:textId="08DE8392" w:rsidR="000E38BA" w:rsidRPr="005D14B7" w:rsidRDefault="000E38BA" w:rsidP="00262A26">
            <w:pPr>
              <w:pStyle w:val="TableParagraph"/>
              <w:spacing w:before="1" w:line="290" w:lineRule="atLeast"/>
              <w:ind w:left="108" w:right="520"/>
              <w:rPr>
                <w:sz w:val="24"/>
                <w:lang w:val="cs-CZ"/>
              </w:rPr>
            </w:pPr>
          </w:p>
        </w:tc>
      </w:tr>
      <w:tr w:rsidR="000E38BA" w:rsidRPr="005D14B7" w14:paraId="7259D420" w14:textId="77777777" w:rsidTr="00D53428">
        <w:trPr>
          <w:trHeight w:val="1757"/>
        </w:trPr>
        <w:tc>
          <w:tcPr>
            <w:tcW w:w="0" w:type="auto"/>
            <w:vMerge w:val="restart"/>
            <w:tcBorders>
              <w:top w:val="single" w:sz="4" w:space="0" w:color="000000"/>
            </w:tcBorders>
          </w:tcPr>
          <w:p w14:paraId="10002395" w14:textId="77777777" w:rsidR="000E38BA" w:rsidRPr="005D14B7" w:rsidRDefault="725F14BC" w:rsidP="725F14BC">
            <w:pPr>
              <w:pStyle w:val="TableParagraph"/>
              <w:spacing w:line="292" w:lineRule="exact"/>
              <w:ind w:left="107"/>
              <w:rPr>
                <w:sz w:val="24"/>
                <w:szCs w:val="24"/>
                <w:lang w:val="cs-CZ"/>
              </w:rPr>
            </w:pPr>
            <w:r w:rsidRPr="725F14BC">
              <w:rPr>
                <w:sz w:val="24"/>
                <w:szCs w:val="24"/>
                <w:lang w:val="cs-CZ"/>
              </w:rPr>
              <w:t>8.</w:t>
            </w:r>
          </w:p>
          <w:p w14:paraId="45CB103B" w14:textId="5F589DA2" w:rsidR="000E38BA" w:rsidRPr="005D14B7" w:rsidRDefault="000E38BA" w:rsidP="000E38BA">
            <w:pPr>
              <w:pStyle w:val="TableParagraph"/>
              <w:spacing w:line="292" w:lineRule="exact"/>
              <w:ind w:left="107"/>
              <w:rPr>
                <w:sz w:val="24"/>
                <w:lang w:val="cs-CZ"/>
              </w:rPr>
            </w:pPr>
          </w:p>
        </w:tc>
        <w:tc>
          <w:tcPr>
            <w:tcW w:w="0" w:type="auto"/>
            <w:vMerge w:val="restart"/>
            <w:tcBorders>
              <w:top w:val="single" w:sz="4" w:space="0" w:color="000000"/>
            </w:tcBorders>
          </w:tcPr>
          <w:p w14:paraId="1000C3ED" w14:textId="77777777" w:rsidR="000E38BA" w:rsidRPr="005D14B7" w:rsidRDefault="725F14BC" w:rsidP="725F14BC">
            <w:pPr>
              <w:pStyle w:val="TableParagraph"/>
              <w:spacing w:line="292" w:lineRule="exact"/>
              <w:ind w:left="108"/>
              <w:rPr>
                <w:sz w:val="24"/>
                <w:szCs w:val="24"/>
                <w:lang w:val="cs-CZ"/>
              </w:rPr>
            </w:pPr>
            <w:r w:rsidRPr="725F14BC">
              <w:rPr>
                <w:sz w:val="24"/>
                <w:szCs w:val="24"/>
                <w:lang w:val="cs-CZ"/>
              </w:rPr>
              <w:t>Omezování přístupu</w:t>
            </w:r>
          </w:p>
          <w:p w14:paraId="676292D7" w14:textId="67A975A9" w:rsidR="000E38BA" w:rsidRPr="005D14B7" w:rsidRDefault="725F14BC" w:rsidP="725F14BC">
            <w:pPr>
              <w:pStyle w:val="TableParagraph"/>
              <w:ind w:left="108" w:right="325"/>
              <w:rPr>
                <w:sz w:val="24"/>
                <w:szCs w:val="24"/>
                <w:lang w:val="cs-CZ"/>
              </w:rPr>
            </w:pPr>
            <w:r w:rsidRPr="725F14BC">
              <w:rPr>
                <w:sz w:val="24"/>
                <w:szCs w:val="24"/>
                <w:lang w:val="cs-CZ"/>
              </w:rPr>
              <w:t xml:space="preserve">k zadávací dokumentaci </w:t>
            </w:r>
          </w:p>
        </w:tc>
        <w:tc>
          <w:tcPr>
            <w:tcW w:w="0" w:type="auto"/>
            <w:vMerge w:val="restart"/>
            <w:tcBorders>
              <w:top w:val="single" w:sz="4" w:space="0" w:color="000000"/>
            </w:tcBorders>
          </w:tcPr>
          <w:p w14:paraId="3FFC31D3" w14:textId="5ADC702E" w:rsidR="000E38BA" w:rsidRPr="005D14B7" w:rsidRDefault="725F14BC" w:rsidP="725F14BC">
            <w:pPr>
              <w:pStyle w:val="TableParagraph"/>
              <w:ind w:left="108" w:right="289"/>
              <w:rPr>
                <w:sz w:val="24"/>
                <w:szCs w:val="24"/>
                <w:lang w:val="cs-CZ"/>
              </w:rPr>
            </w:pPr>
            <w:r w:rsidRPr="725F14BC">
              <w:rPr>
                <w:sz w:val="24"/>
                <w:szCs w:val="24"/>
                <w:lang w:val="cs-CZ"/>
              </w:rPr>
              <w:t xml:space="preserve">Zadavatel neposkytl zadávací dokumentaci </w:t>
            </w:r>
            <w:r w:rsidR="00036359">
              <w:rPr>
                <w:sz w:val="24"/>
                <w:szCs w:val="24"/>
                <w:lang w:val="cs-CZ"/>
              </w:rPr>
              <w:t>účastník</w:t>
            </w:r>
            <w:r w:rsidR="00036359" w:rsidRPr="725F14BC">
              <w:rPr>
                <w:sz w:val="24"/>
                <w:szCs w:val="24"/>
                <w:lang w:val="cs-CZ"/>
              </w:rPr>
              <w:t>ům</w:t>
            </w:r>
          </w:p>
          <w:p w14:paraId="118324EF" w14:textId="55C86D5A" w:rsidR="000E38BA" w:rsidRPr="005D14B7" w:rsidRDefault="725F14BC" w:rsidP="725F14BC">
            <w:pPr>
              <w:pStyle w:val="TableParagraph"/>
              <w:ind w:left="108" w:right="238"/>
              <w:rPr>
                <w:sz w:val="24"/>
                <w:szCs w:val="24"/>
                <w:lang w:val="cs-CZ"/>
              </w:rPr>
            </w:pPr>
            <w:r w:rsidRPr="725F14BC">
              <w:rPr>
                <w:sz w:val="24"/>
                <w:szCs w:val="24"/>
                <w:lang w:val="cs-CZ"/>
              </w:rPr>
              <w:t xml:space="preserve">v dostatečném časovém předstihu nebo jiným způsobem omezoval </w:t>
            </w:r>
            <w:r w:rsidR="00036359">
              <w:rPr>
                <w:sz w:val="24"/>
                <w:szCs w:val="24"/>
                <w:lang w:val="cs-CZ"/>
              </w:rPr>
              <w:t>účastník</w:t>
            </w:r>
            <w:r w:rsidR="00036359" w:rsidRPr="725F14BC">
              <w:rPr>
                <w:sz w:val="24"/>
                <w:szCs w:val="24"/>
                <w:lang w:val="cs-CZ"/>
              </w:rPr>
              <w:t xml:space="preserve">ům </w:t>
            </w:r>
            <w:r w:rsidRPr="725F14BC">
              <w:rPr>
                <w:sz w:val="24"/>
                <w:szCs w:val="24"/>
                <w:lang w:val="cs-CZ"/>
              </w:rPr>
              <w:t xml:space="preserve">přístup k zadávací dokumentaci </w:t>
            </w:r>
          </w:p>
          <w:p w14:paraId="732286C7" w14:textId="041491C3" w:rsidR="000E38BA" w:rsidRPr="005D14B7" w:rsidRDefault="000E38BA" w:rsidP="000E38BA">
            <w:pPr>
              <w:pStyle w:val="TableParagraph"/>
              <w:spacing w:line="290" w:lineRule="atLeast"/>
              <w:ind w:left="108" w:right="805"/>
              <w:rPr>
                <w:sz w:val="24"/>
                <w:lang w:val="cs-CZ"/>
              </w:rPr>
            </w:pPr>
          </w:p>
        </w:tc>
        <w:tc>
          <w:tcPr>
            <w:tcW w:w="0" w:type="auto"/>
            <w:tcBorders>
              <w:top w:val="single" w:sz="4" w:space="0" w:color="000000"/>
            </w:tcBorders>
          </w:tcPr>
          <w:p w14:paraId="769EBF9F" w14:textId="0517EAF8" w:rsidR="000E38BA" w:rsidRPr="005D14B7" w:rsidRDefault="725F14BC" w:rsidP="00036359">
            <w:pPr>
              <w:pStyle w:val="TableParagraph"/>
              <w:spacing w:line="292" w:lineRule="exact"/>
              <w:ind w:left="108"/>
              <w:rPr>
                <w:sz w:val="24"/>
                <w:szCs w:val="24"/>
                <w:lang w:val="cs-CZ"/>
              </w:rPr>
            </w:pPr>
            <w:r w:rsidRPr="725F14BC">
              <w:rPr>
                <w:sz w:val="24"/>
                <w:szCs w:val="24"/>
                <w:lang w:val="cs-CZ"/>
              </w:rPr>
              <w:t xml:space="preserve">10 %, pokud je doba, ve které mohl </w:t>
            </w:r>
            <w:r w:rsidR="00036359">
              <w:rPr>
                <w:sz w:val="24"/>
                <w:szCs w:val="24"/>
                <w:lang w:val="cs-CZ"/>
              </w:rPr>
              <w:t>účastník</w:t>
            </w:r>
            <w:r w:rsidR="00036359" w:rsidRPr="725F14BC">
              <w:rPr>
                <w:sz w:val="24"/>
                <w:szCs w:val="24"/>
                <w:lang w:val="cs-CZ"/>
              </w:rPr>
              <w:t xml:space="preserve"> </w:t>
            </w:r>
            <w:r w:rsidRPr="725F14BC">
              <w:rPr>
                <w:sz w:val="24"/>
                <w:szCs w:val="24"/>
                <w:lang w:val="cs-CZ"/>
              </w:rPr>
              <w:t>získat zadávací dokumentaci, kratší nebo rovna 50 % lhůty pro podání nabídek</w:t>
            </w:r>
          </w:p>
        </w:tc>
      </w:tr>
      <w:tr w:rsidR="000E38BA" w:rsidRPr="005D14B7" w14:paraId="4D8B7466" w14:textId="77777777" w:rsidTr="00D53428">
        <w:trPr>
          <w:trHeight w:val="1757"/>
        </w:trPr>
        <w:tc>
          <w:tcPr>
            <w:tcW w:w="0" w:type="auto"/>
            <w:vMerge/>
          </w:tcPr>
          <w:p w14:paraId="56BA789D" w14:textId="6BA346C0" w:rsidR="000E38BA" w:rsidRDefault="000E38BA" w:rsidP="000E38BA">
            <w:pPr>
              <w:pStyle w:val="TableParagraph"/>
              <w:spacing w:line="292" w:lineRule="exact"/>
              <w:ind w:left="107"/>
              <w:rPr>
                <w:sz w:val="24"/>
              </w:rPr>
            </w:pPr>
          </w:p>
        </w:tc>
        <w:tc>
          <w:tcPr>
            <w:tcW w:w="0" w:type="auto"/>
            <w:vMerge/>
          </w:tcPr>
          <w:p w14:paraId="4AB20F34" w14:textId="77777777" w:rsidR="000E38BA" w:rsidRPr="005D14B7" w:rsidRDefault="000E38BA" w:rsidP="000E38BA">
            <w:pPr>
              <w:pStyle w:val="TableParagraph"/>
              <w:spacing w:line="292" w:lineRule="exact"/>
              <w:ind w:left="108"/>
              <w:rPr>
                <w:sz w:val="24"/>
              </w:rPr>
            </w:pPr>
          </w:p>
        </w:tc>
        <w:tc>
          <w:tcPr>
            <w:tcW w:w="0" w:type="auto"/>
            <w:vMerge/>
          </w:tcPr>
          <w:p w14:paraId="2BFE1482" w14:textId="77777777" w:rsidR="000E38BA" w:rsidRPr="005D14B7" w:rsidRDefault="000E38BA" w:rsidP="000E38BA">
            <w:pPr>
              <w:pStyle w:val="TableParagraph"/>
              <w:ind w:left="108" w:right="289"/>
              <w:rPr>
                <w:sz w:val="24"/>
              </w:rPr>
            </w:pPr>
          </w:p>
        </w:tc>
        <w:tc>
          <w:tcPr>
            <w:tcW w:w="0" w:type="auto"/>
          </w:tcPr>
          <w:p w14:paraId="4D65982A" w14:textId="019DD456" w:rsidR="000E38BA" w:rsidRPr="005D14B7" w:rsidRDefault="725F14BC" w:rsidP="00DF4F8F">
            <w:pPr>
              <w:pStyle w:val="TableParagraph"/>
              <w:spacing w:line="292" w:lineRule="exact"/>
              <w:ind w:left="108"/>
              <w:rPr>
                <w:sz w:val="24"/>
                <w:szCs w:val="24"/>
              </w:rPr>
            </w:pPr>
            <w:r w:rsidRPr="725F14BC">
              <w:rPr>
                <w:sz w:val="24"/>
                <w:szCs w:val="24"/>
                <w:lang w:val="cs-CZ"/>
              </w:rPr>
              <w:t xml:space="preserve">5 %, pokud je doba, ve které mohl </w:t>
            </w:r>
            <w:r w:rsidR="00DF4F8F">
              <w:rPr>
                <w:sz w:val="24"/>
                <w:szCs w:val="24"/>
                <w:lang w:val="cs-CZ"/>
              </w:rPr>
              <w:t>účastník</w:t>
            </w:r>
            <w:r w:rsidR="00DF4F8F" w:rsidRPr="725F14BC">
              <w:rPr>
                <w:sz w:val="24"/>
                <w:szCs w:val="24"/>
                <w:lang w:val="cs-CZ"/>
              </w:rPr>
              <w:t xml:space="preserve"> </w:t>
            </w:r>
            <w:r w:rsidRPr="725F14BC">
              <w:rPr>
                <w:sz w:val="24"/>
                <w:szCs w:val="24"/>
                <w:lang w:val="cs-CZ"/>
              </w:rPr>
              <w:t>získat zadávací dokumentaci kratší než 80 % lhůty pro podání nabídek (ale delší než 50 %)</w:t>
            </w:r>
          </w:p>
        </w:tc>
      </w:tr>
      <w:tr w:rsidR="000E38BA" w:rsidRPr="005D14B7" w14:paraId="013607C5" w14:textId="77777777" w:rsidTr="00D53428">
        <w:trPr>
          <w:trHeight w:val="1584"/>
        </w:trPr>
        <w:tc>
          <w:tcPr>
            <w:tcW w:w="0" w:type="auto"/>
            <w:vMerge w:val="restart"/>
          </w:tcPr>
          <w:p w14:paraId="3DF6D3BA" w14:textId="7A87233E" w:rsidR="000E38BA" w:rsidRPr="005D14B7" w:rsidRDefault="725F14BC" w:rsidP="725F14BC">
            <w:pPr>
              <w:pStyle w:val="TableParagraph"/>
              <w:spacing w:line="292" w:lineRule="exact"/>
              <w:ind w:left="107"/>
              <w:rPr>
                <w:sz w:val="24"/>
                <w:szCs w:val="24"/>
                <w:lang w:val="cs-CZ"/>
              </w:rPr>
            </w:pPr>
            <w:r w:rsidRPr="725F14BC">
              <w:rPr>
                <w:sz w:val="24"/>
                <w:szCs w:val="24"/>
                <w:lang w:val="cs-CZ"/>
              </w:rPr>
              <w:t>9.</w:t>
            </w:r>
          </w:p>
        </w:tc>
        <w:tc>
          <w:tcPr>
            <w:tcW w:w="0" w:type="auto"/>
            <w:vMerge w:val="restart"/>
          </w:tcPr>
          <w:p w14:paraId="76FC2EBF" w14:textId="61E49AE5" w:rsidR="000E38BA" w:rsidRPr="005D14B7" w:rsidRDefault="725F14BC" w:rsidP="725F14BC">
            <w:pPr>
              <w:pStyle w:val="TableParagraph"/>
              <w:spacing w:before="1"/>
              <w:ind w:left="108"/>
              <w:rPr>
                <w:sz w:val="24"/>
                <w:szCs w:val="24"/>
                <w:lang w:val="cs-CZ"/>
              </w:rPr>
            </w:pPr>
            <w:r w:rsidRPr="725F14BC">
              <w:rPr>
                <w:sz w:val="24"/>
                <w:szCs w:val="24"/>
                <w:lang w:val="cs-CZ"/>
              </w:rPr>
              <w:t>Neuveřejnění prodloužení lhůty pro podání nabídek, předběžných nabídek nebo žádostí o účast</w:t>
            </w:r>
          </w:p>
        </w:tc>
        <w:tc>
          <w:tcPr>
            <w:tcW w:w="0" w:type="auto"/>
            <w:vMerge w:val="restart"/>
          </w:tcPr>
          <w:p w14:paraId="06A44C58" w14:textId="77A83C2B" w:rsidR="000E38BA" w:rsidRPr="005D14B7" w:rsidRDefault="725F14BC" w:rsidP="725F14BC">
            <w:pPr>
              <w:pStyle w:val="TableParagraph"/>
              <w:ind w:left="108" w:right="203"/>
              <w:rPr>
                <w:sz w:val="24"/>
                <w:szCs w:val="24"/>
                <w:lang w:val="cs-CZ"/>
              </w:rPr>
            </w:pPr>
            <w:r w:rsidRPr="725F14BC">
              <w:rPr>
                <w:sz w:val="24"/>
                <w:szCs w:val="24"/>
                <w:lang w:val="cs-CZ"/>
              </w:rPr>
              <w:t xml:space="preserve">Zadavatel v průběhu zadávacího/výběrového řízení prodloužil lhůtu pro podání nabídek nebo žádostí o účast, aniž by tuto skutečnost uveřejnil způsobem stanoveným v ZZVZ/ Pokynem pro </w:t>
            </w:r>
            <w:r w:rsidR="00DF4F8F">
              <w:rPr>
                <w:sz w:val="24"/>
                <w:szCs w:val="24"/>
                <w:lang w:val="cs-CZ"/>
              </w:rPr>
              <w:t xml:space="preserve">zadávání </w:t>
            </w:r>
            <w:r w:rsidRPr="725F14BC">
              <w:rPr>
                <w:sz w:val="24"/>
                <w:szCs w:val="24"/>
                <w:lang w:val="cs-CZ"/>
              </w:rPr>
              <w:t>VZMR/ Interním pokynem KP, resp. způsobem, jakým bylo</w:t>
            </w:r>
          </w:p>
          <w:p w14:paraId="051E0841" w14:textId="68118E0E" w:rsidR="000E38BA" w:rsidRPr="005D14B7" w:rsidRDefault="725F14BC" w:rsidP="725F14BC">
            <w:pPr>
              <w:pStyle w:val="TableParagraph"/>
              <w:ind w:left="108" w:right="224"/>
              <w:rPr>
                <w:sz w:val="24"/>
                <w:szCs w:val="24"/>
                <w:lang w:val="cs-CZ"/>
              </w:rPr>
            </w:pPr>
            <w:r w:rsidRPr="725F14BC">
              <w:rPr>
                <w:sz w:val="24"/>
                <w:szCs w:val="24"/>
                <w:lang w:val="cs-CZ"/>
              </w:rPr>
              <w:t>zahájeno zadávací/výběrové řízení</w:t>
            </w:r>
          </w:p>
        </w:tc>
        <w:tc>
          <w:tcPr>
            <w:tcW w:w="0" w:type="auto"/>
          </w:tcPr>
          <w:p w14:paraId="2D52F49B" w14:textId="5834BEC3" w:rsidR="000E38BA" w:rsidRPr="005D14B7" w:rsidRDefault="725F14BC" w:rsidP="725F14BC">
            <w:pPr>
              <w:pStyle w:val="TableParagraph"/>
              <w:ind w:left="108" w:right="97"/>
              <w:rPr>
                <w:sz w:val="24"/>
                <w:szCs w:val="24"/>
                <w:lang w:val="cs-CZ"/>
              </w:rPr>
            </w:pPr>
            <w:r w:rsidRPr="725F14BC">
              <w:rPr>
                <w:sz w:val="24"/>
                <w:szCs w:val="24"/>
                <w:lang w:val="cs-CZ"/>
              </w:rPr>
              <w:t>10 %</w:t>
            </w:r>
          </w:p>
        </w:tc>
      </w:tr>
      <w:tr w:rsidR="000E38BA" w:rsidRPr="005D14B7" w14:paraId="316A3FC5" w14:textId="77777777" w:rsidTr="00D53428">
        <w:trPr>
          <w:trHeight w:val="1584"/>
        </w:trPr>
        <w:tc>
          <w:tcPr>
            <w:tcW w:w="0" w:type="auto"/>
            <w:vMerge/>
            <w:tcBorders>
              <w:top w:val="nil"/>
            </w:tcBorders>
          </w:tcPr>
          <w:p w14:paraId="1F72F646" w14:textId="77777777" w:rsidR="000E38BA" w:rsidRPr="005D14B7" w:rsidRDefault="000E38BA" w:rsidP="000E38BA">
            <w:pPr>
              <w:rPr>
                <w:sz w:val="2"/>
                <w:szCs w:val="2"/>
                <w:lang w:val="cs-CZ"/>
              </w:rPr>
            </w:pPr>
          </w:p>
        </w:tc>
        <w:tc>
          <w:tcPr>
            <w:tcW w:w="0" w:type="auto"/>
            <w:vMerge/>
            <w:tcBorders>
              <w:top w:val="nil"/>
            </w:tcBorders>
          </w:tcPr>
          <w:p w14:paraId="08CE6F91" w14:textId="77777777" w:rsidR="000E38BA" w:rsidRPr="005D14B7" w:rsidRDefault="000E38BA" w:rsidP="000E38BA">
            <w:pPr>
              <w:rPr>
                <w:sz w:val="2"/>
                <w:szCs w:val="2"/>
                <w:lang w:val="cs-CZ"/>
              </w:rPr>
            </w:pPr>
          </w:p>
        </w:tc>
        <w:tc>
          <w:tcPr>
            <w:tcW w:w="0" w:type="auto"/>
            <w:vMerge/>
            <w:tcBorders>
              <w:top w:val="nil"/>
            </w:tcBorders>
          </w:tcPr>
          <w:p w14:paraId="61CDCEAD" w14:textId="77777777" w:rsidR="000E38BA" w:rsidRPr="005D14B7" w:rsidRDefault="000E38BA" w:rsidP="000E38BA">
            <w:pPr>
              <w:rPr>
                <w:sz w:val="2"/>
                <w:szCs w:val="2"/>
                <w:lang w:val="cs-CZ"/>
              </w:rPr>
            </w:pPr>
          </w:p>
        </w:tc>
        <w:tc>
          <w:tcPr>
            <w:tcW w:w="0" w:type="auto"/>
          </w:tcPr>
          <w:p w14:paraId="0D2AE7A7" w14:textId="638BB689" w:rsidR="000E38BA" w:rsidRPr="005D14B7" w:rsidRDefault="725F14BC" w:rsidP="00DF4F8F">
            <w:pPr>
              <w:pStyle w:val="TableParagraph"/>
              <w:ind w:left="108" w:right="135"/>
              <w:jc w:val="both"/>
              <w:rPr>
                <w:sz w:val="24"/>
                <w:szCs w:val="24"/>
                <w:lang w:val="cs-CZ"/>
              </w:rPr>
            </w:pPr>
            <w:r w:rsidRPr="725F14BC">
              <w:rPr>
                <w:sz w:val="24"/>
                <w:szCs w:val="24"/>
                <w:lang w:val="cs-CZ"/>
              </w:rPr>
              <w:t>5 % v případě, že došlo ke zveřejnění jiným způsobem, než jak stanoví ZZVZ/ Pokyn pro</w:t>
            </w:r>
            <w:r w:rsidR="00DF4F8F">
              <w:rPr>
                <w:sz w:val="24"/>
                <w:szCs w:val="24"/>
                <w:lang w:val="cs-CZ"/>
              </w:rPr>
              <w:t xml:space="preserve"> zadávání</w:t>
            </w:r>
            <w:r w:rsidRPr="725F14BC">
              <w:rPr>
                <w:sz w:val="24"/>
                <w:szCs w:val="24"/>
                <w:lang w:val="cs-CZ"/>
              </w:rPr>
              <w:t xml:space="preserve"> VZMR/</w:t>
            </w:r>
            <w:r w:rsidR="00DF4F8F" w:rsidRPr="725F14BC" w:rsidDel="00DF4F8F">
              <w:rPr>
                <w:sz w:val="24"/>
                <w:szCs w:val="24"/>
                <w:lang w:val="cs-CZ"/>
              </w:rPr>
              <w:t xml:space="preserve"> </w:t>
            </w:r>
            <w:r w:rsidRPr="725F14BC">
              <w:rPr>
                <w:sz w:val="24"/>
                <w:szCs w:val="24"/>
                <w:lang w:val="cs-CZ"/>
              </w:rPr>
              <w:t>Interní pokyn KP</w:t>
            </w:r>
          </w:p>
        </w:tc>
      </w:tr>
      <w:tr w:rsidR="000E38BA" w:rsidRPr="005D14B7" w14:paraId="2F924215" w14:textId="77777777" w:rsidTr="00D53428">
        <w:trPr>
          <w:trHeight w:val="1372"/>
        </w:trPr>
        <w:tc>
          <w:tcPr>
            <w:tcW w:w="0" w:type="auto"/>
            <w:vMerge w:val="restart"/>
          </w:tcPr>
          <w:p w14:paraId="003054A5" w14:textId="6176D88F" w:rsidR="000E38BA" w:rsidRPr="005D14B7" w:rsidRDefault="725F14BC" w:rsidP="725F14BC">
            <w:pPr>
              <w:pStyle w:val="TableParagraph"/>
              <w:spacing w:line="292" w:lineRule="exact"/>
              <w:ind w:left="107"/>
              <w:rPr>
                <w:sz w:val="24"/>
                <w:szCs w:val="24"/>
                <w:lang w:val="cs-CZ"/>
              </w:rPr>
            </w:pPr>
            <w:r w:rsidRPr="725F14BC">
              <w:rPr>
                <w:sz w:val="24"/>
                <w:szCs w:val="24"/>
                <w:lang w:val="cs-CZ"/>
              </w:rPr>
              <w:t>10.</w:t>
            </w:r>
          </w:p>
          <w:p w14:paraId="0F57406D" w14:textId="78C93EA3" w:rsidR="000E38BA" w:rsidRPr="005D14B7" w:rsidRDefault="000E38BA" w:rsidP="000E38BA">
            <w:pPr>
              <w:pStyle w:val="TableParagraph"/>
              <w:spacing w:line="292" w:lineRule="exact"/>
              <w:ind w:left="107"/>
              <w:rPr>
                <w:sz w:val="24"/>
                <w:lang w:val="cs-CZ"/>
              </w:rPr>
            </w:pPr>
          </w:p>
        </w:tc>
        <w:tc>
          <w:tcPr>
            <w:tcW w:w="0" w:type="auto"/>
            <w:vMerge w:val="restart"/>
          </w:tcPr>
          <w:p w14:paraId="5691C61A" w14:textId="34D96D66" w:rsidR="000E38BA" w:rsidRPr="005D14B7" w:rsidRDefault="000E38BA" w:rsidP="725F14BC">
            <w:pPr>
              <w:pStyle w:val="TableParagraph"/>
              <w:ind w:left="108" w:right="147"/>
              <w:rPr>
                <w:sz w:val="24"/>
                <w:szCs w:val="24"/>
                <w:lang w:val="cs-CZ"/>
              </w:rPr>
            </w:pPr>
            <w:r w:rsidRPr="725F14BC">
              <w:rPr>
                <w:sz w:val="24"/>
                <w:szCs w:val="24"/>
                <w:lang w:val="cs-CZ"/>
              </w:rPr>
              <w:t xml:space="preserve">Nedostatečné vymezení </w:t>
            </w:r>
            <w:r w:rsidR="00DF4F8F">
              <w:rPr>
                <w:sz w:val="24"/>
                <w:szCs w:val="24"/>
                <w:lang w:val="cs-CZ"/>
              </w:rPr>
              <w:t xml:space="preserve">kritérií </w:t>
            </w:r>
            <w:r w:rsidR="00DF4F8F" w:rsidRPr="725F14BC">
              <w:rPr>
                <w:sz w:val="24"/>
                <w:szCs w:val="24"/>
                <w:lang w:val="cs-CZ"/>
              </w:rPr>
              <w:t>kvalifika</w:t>
            </w:r>
            <w:r w:rsidR="00DF4F8F">
              <w:rPr>
                <w:sz w:val="24"/>
                <w:szCs w:val="24"/>
                <w:lang w:val="cs-CZ"/>
              </w:rPr>
              <w:t>ce</w:t>
            </w:r>
            <w:r w:rsidR="00DF4F8F" w:rsidRPr="725F14BC">
              <w:rPr>
                <w:sz w:val="24"/>
                <w:szCs w:val="24"/>
                <w:lang w:val="cs-CZ"/>
              </w:rPr>
              <w:t xml:space="preserve"> </w:t>
            </w:r>
            <w:r w:rsidRPr="725F14BC">
              <w:rPr>
                <w:sz w:val="24"/>
                <w:szCs w:val="24"/>
                <w:lang w:val="cs-CZ"/>
              </w:rPr>
              <w:t xml:space="preserve">a </w:t>
            </w:r>
            <w:r w:rsidR="00DF4F8F" w:rsidRPr="725F14BC">
              <w:rPr>
                <w:sz w:val="24"/>
                <w:szCs w:val="24"/>
                <w:lang w:val="cs-CZ"/>
              </w:rPr>
              <w:t>hodno</w:t>
            </w:r>
            <w:r w:rsidR="00DF4F8F">
              <w:rPr>
                <w:sz w:val="24"/>
                <w:szCs w:val="24"/>
                <w:lang w:val="cs-CZ"/>
              </w:rPr>
              <w:t>cení</w:t>
            </w:r>
            <w:r w:rsidRPr="725F14BC">
              <w:rPr>
                <w:sz w:val="24"/>
                <w:szCs w:val="24"/>
                <w:lang w:val="cs-CZ"/>
              </w:rPr>
              <w:t xml:space="preserve">, podmínek pro plnění </w:t>
            </w:r>
            <w:r w:rsidR="00DF4F8F">
              <w:rPr>
                <w:sz w:val="24"/>
                <w:szCs w:val="24"/>
                <w:lang w:val="cs-CZ"/>
              </w:rPr>
              <w:t xml:space="preserve">veřejné </w:t>
            </w:r>
            <w:r w:rsidRPr="725F14BC">
              <w:rPr>
                <w:sz w:val="24"/>
                <w:szCs w:val="24"/>
                <w:lang w:val="cs-CZ"/>
              </w:rPr>
              <w:t>zakázky,</w:t>
            </w:r>
            <w:r w:rsidRPr="725F14BC">
              <w:rPr>
                <w:spacing w:val="-2"/>
                <w:sz w:val="24"/>
                <w:szCs w:val="24"/>
                <w:lang w:val="cs-CZ"/>
              </w:rPr>
              <w:t xml:space="preserve"> </w:t>
            </w:r>
            <w:r w:rsidRPr="725F14BC">
              <w:rPr>
                <w:sz w:val="24"/>
                <w:szCs w:val="24"/>
                <w:lang w:val="cs-CZ"/>
              </w:rPr>
              <w:t>technických</w:t>
            </w:r>
          </w:p>
          <w:p w14:paraId="2E6E494C" w14:textId="77777777" w:rsidR="000E38BA" w:rsidRPr="005D14B7" w:rsidRDefault="725F14BC" w:rsidP="725F14BC">
            <w:pPr>
              <w:pStyle w:val="TableParagraph"/>
              <w:ind w:left="108" w:right="307"/>
              <w:rPr>
                <w:sz w:val="24"/>
                <w:szCs w:val="24"/>
                <w:lang w:val="cs-CZ"/>
              </w:rPr>
            </w:pPr>
            <w:r w:rsidRPr="725F14BC">
              <w:rPr>
                <w:sz w:val="24"/>
                <w:szCs w:val="24"/>
                <w:lang w:val="cs-CZ"/>
              </w:rPr>
              <w:t>specifikací</w:t>
            </w:r>
          </w:p>
          <w:p w14:paraId="11BBABD2" w14:textId="78CAFEA1" w:rsidR="000E38BA" w:rsidRPr="005D14B7" w:rsidRDefault="000E38BA" w:rsidP="000E38BA">
            <w:pPr>
              <w:pStyle w:val="TableParagraph"/>
              <w:ind w:left="108" w:right="147"/>
              <w:rPr>
                <w:sz w:val="24"/>
                <w:lang w:val="cs-CZ"/>
              </w:rPr>
            </w:pPr>
          </w:p>
        </w:tc>
        <w:tc>
          <w:tcPr>
            <w:tcW w:w="0" w:type="auto"/>
            <w:vMerge w:val="restart"/>
          </w:tcPr>
          <w:p w14:paraId="7AB3C600" w14:textId="1E322F73" w:rsidR="000E38BA" w:rsidRPr="005D14B7" w:rsidRDefault="725F14BC" w:rsidP="725F14BC">
            <w:pPr>
              <w:pStyle w:val="TableParagraph"/>
              <w:ind w:left="108" w:right="140"/>
              <w:rPr>
                <w:sz w:val="24"/>
                <w:szCs w:val="24"/>
                <w:lang w:val="cs-CZ"/>
              </w:rPr>
            </w:pPr>
            <w:r w:rsidRPr="725F14BC">
              <w:rPr>
                <w:sz w:val="24"/>
                <w:szCs w:val="24"/>
                <w:lang w:val="cs-CZ"/>
              </w:rPr>
              <w:t xml:space="preserve">Zadavatel neuvedl </w:t>
            </w:r>
            <w:r w:rsidR="00DF4F8F">
              <w:rPr>
                <w:sz w:val="24"/>
                <w:szCs w:val="24"/>
                <w:lang w:val="cs-CZ"/>
              </w:rPr>
              <w:t xml:space="preserve">v zadávací dokumentaci (např. </w:t>
            </w:r>
            <w:r w:rsidRPr="725F14BC">
              <w:rPr>
                <w:sz w:val="24"/>
                <w:szCs w:val="24"/>
                <w:lang w:val="cs-CZ"/>
              </w:rPr>
              <w:t>v oznámení o zahájení zadávacího/výběrového řízení</w:t>
            </w:r>
            <w:r w:rsidR="00DF4F8F">
              <w:rPr>
                <w:sz w:val="24"/>
                <w:szCs w:val="24"/>
                <w:lang w:val="cs-CZ"/>
              </w:rPr>
              <w:t>)</w:t>
            </w:r>
            <w:r w:rsidRPr="725F14BC">
              <w:rPr>
                <w:sz w:val="24"/>
                <w:szCs w:val="24"/>
                <w:lang w:val="cs-CZ"/>
              </w:rPr>
              <w:t xml:space="preserve"> </w:t>
            </w:r>
            <w:r w:rsidR="00DF4F8F">
              <w:rPr>
                <w:sz w:val="24"/>
                <w:szCs w:val="24"/>
                <w:lang w:val="cs-CZ"/>
              </w:rPr>
              <w:t xml:space="preserve">kritéria </w:t>
            </w:r>
            <w:r w:rsidRPr="725F14BC">
              <w:rPr>
                <w:sz w:val="24"/>
                <w:szCs w:val="24"/>
                <w:lang w:val="cs-CZ"/>
              </w:rPr>
              <w:t>kvalifika</w:t>
            </w:r>
            <w:r w:rsidR="00DF4F8F">
              <w:rPr>
                <w:sz w:val="24"/>
                <w:szCs w:val="24"/>
                <w:lang w:val="cs-CZ"/>
              </w:rPr>
              <w:t>ce nebo</w:t>
            </w:r>
            <w:r w:rsidRPr="725F14BC">
              <w:rPr>
                <w:sz w:val="24"/>
                <w:szCs w:val="24"/>
                <w:lang w:val="cs-CZ"/>
              </w:rPr>
              <w:t xml:space="preserve"> hodno</w:t>
            </w:r>
            <w:r w:rsidR="00DF4F8F">
              <w:rPr>
                <w:sz w:val="24"/>
                <w:szCs w:val="24"/>
                <w:lang w:val="cs-CZ"/>
              </w:rPr>
              <w:t>cení</w:t>
            </w:r>
            <w:r w:rsidRPr="725F14BC">
              <w:rPr>
                <w:sz w:val="24"/>
                <w:szCs w:val="24"/>
                <w:lang w:val="cs-CZ"/>
              </w:rPr>
              <w:t xml:space="preserve"> </w:t>
            </w:r>
          </w:p>
          <w:p w14:paraId="643398DA" w14:textId="53ADC516" w:rsidR="000E38BA" w:rsidRPr="005D14B7" w:rsidRDefault="725F14BC" w:rsidP="725F14BC">
            <w:pPr>
              <w:pStyle w:val="TableParagraph"/>
              <w:ind w:left="108" w:right="167"/>
              <w:rPr>
                <w:sz w:val="24"/>
                <w:szCs w:val="24"/>
                <w:lang w:val="cs-CZ"/>
              </w:rPr>
            </w:pPr>
            <w:r w:rsidRPr="725F14BC">
              <w:rPr>
                <w:sz w:val="24"/>
                <w:szCs w:val="24"/>
                <w:lang w:val="cs-CZ"/>
              </w:rPr>
              <w:t xml:space="preserve">(a jejich váhu), podmínky pro plnění </w:t>
            </w:r>
            <w:r w:rsidR="00DF4F8F">
              <w:rPr>
                <w:sz w:val="24"/>
                <w:szCs w:val="24"/>
                <w:lang w:val="cs-CZ"/>
              </w:rPr>
              <w:t xml:space="preserve">veřejné </w:t>
            </w:r>
            <w:r w:rsidRPr="725F14BC">
              <w:rPr>
                <w:sz w:val="24"/>
                <w:szCs w:val="24"/>
                <w:lang w:val="cs-CZ"/>
              </w:rPr>
              <w:t>zakázky nebo technické specifikace nebo tyto požadavky nevymezil dostatečně určitě</w:t>
            </w:r>
          </w:p>
          <w:p w14:paraId="7D0FCDD3" w14:textId="2A7BD0AB" w:rsidR="000E38BA" w:rsidRPr="005D14B7" w:rsidRDefault="725F14BC" w:rsidP="725F14BC">
            <w:pPr>
              <w:pStyle w:val="TableParagraph"/>
              <w:spacing w:line="290" w:lineRule="atLeast"/>
              <w:ind w:left="108" w:right="362"/>
              <w:rPr>
                <w:sz w:val="24"/>
                <w:szCs w:val="24"/>
                <w:lang w:val="cs-CZ"/>
              </w:rPr>
            </w:pPr>
            <w:r w:rsidRPr="725F14BC">
              <w:rPr>
                <w:sz w:val="24"/>
                <w:szCs w:val="24"/>
                <w:lang w:val="cs-CZ"/>
              </w:rPr>
              <w:t>nebo neposkytl vysvětlení nebo doplňující informace</w:t>
            </w:r>
          </w:p>
          <w:p w14:paraId="0EECE211" w14:textId="28A77615" w:rsidR="000E38BA" w:rsidRPr="005D14B7" w:rsidRDefault="000E38BA" w:rsidP="000E38BA">
            <w:pPr>
              <w:pStyle w:val="TableParagraph"/>
              <w:ind w:left="108" w:right="140"/>
              <w:rPr>
                <w:sz w:val="24"/>
                <w:lang w:val="cs-CZ"/>
              </w:rPr>
            </w:pPr>
          </w:p>
        </w:tc>
        <w:tc>
          <w:tcPr>
            <w:tcW w:w="0" w:type="auto"/>
          </w:tcPr>
          <w:p w14:paraId="794289F5" w14:textId="39B2877A" w:rsidR="000E38BA" w:rsidRPr="005D14B7" w:rsidRDefault="725F14BC" w:rsidP="00DF4F8F">
            <w:pPr>
              <w:pStyle w:val="TableParagraph"/>
              <w:spacing w:line="292" w:lineRule="exact"/>
              <w:ind w:left="108"/>
              <w:rPr>
                <w:sz w:val="24"/>
                <w:szCs w:val="24"/>
                <w:lang w:val="cs-CZ"/>
              </w:rPr>
            </w:pPr>
            <w:r w:rsidRPr="725F14BC">
              <w:rPr>
                <w:sz w:val="24"/>
                <w:szCs w:val="24"/>
                <w:lang w:val="cs-CZ"/>
              </w:rPr>
              <w:t xml:space="preserve">25 % v případě neuvedení </w:t>
            </w:r>
            <w:r w:rsidR="00DF4F8F">
              <w:rPr>
                <w:sz w:val="24"/>
                <w:szCs w:val="24"/>
                <w:lang w:val="cs-CZ"/>
              </w:rPr>
              <w:t xml:space="preserve">kritérií </w:t>
            </w:r>
            <w:r w:rsidRPr="725F14BC">
              <w:rPr>
                <w:sz w:val="24"/>
                <w:szCs w:val="24"/>
                <w:lang w:val="cs-CZ"/>
              </w:rPr>
              <w:t>kvalifika</w:t>
            </w:r>
            <w:r w:rsidR="00DF4F8F">
              <w:rPr>
                <w:sz w:val="24"/>
                <w:szCs w:val="24"/>
                <w:lang w:val="cs-CZ"/>
              </w:rPr>
              <w:t>ce</w:t>
            </w:r>
            <w:r w:rsidRPr="725F14BC">
              <w:rPr>
                <w:sz w:val="24"/>
                <w:szCs w:val="24"/>
                <w:lang w:val="cs-CZ"/>
              </w:rPr>
              <w:t xml:space="preserve"> a/nebo hodno</w:t>
            </w:r>
            <w:r w:rsidR="00DF4F8F">
              <w:rPr>
                <w:sz w:val="24"/>
                <w:szCs w:val="24"/>
                <w:lang w:val="cs-CZ"/>
              </w:rPr>
              <w:t>cení</w:t>
            </w:r>
            <w:r w:rsidRPr="725F14BC">
              <w:rPr>
                <w:sz w:val="24"/>
                <w:szCs w:val="24"/>
                <w:lang w:val="cs-CZ"/>
              </w:rPr>
              <w:t xml:space="preserve"> (a jejich váhy)</w:t>
            </w:r>
          </w:p>
        </w:tc>
      </w:tr>
      <w:tr w:rsidR="000E38BA" w:rsidRPr="005D14B7" w14:paraId="18A41CD4" w14:textId="77777777" w:rsidTr="00D53428">
        <w:trPr>
          <w:trHeight w:val="3073"/>
        </w:trPr>
        <w:tc>
          <w:tcPr>
            <w:tcW w:w="0" w:type="auto"/>
            <w:vMerge/>
          </w:tcPr>
          <w:p w14:paraId="1D227260" w14:textId="347F1B89" w:rsidR="000E38BA" w:rsidRDefault="000E38BA" w:rsidP="000E38BA">
            <w:pPr>
              <w:pStyle w:val="TableParagraph"/>
              <w:spacing w:line="292" w:lineRule="exact"/>
              <w:ind w:left="107"/>
              <w:rPr>
                <w:sz w:val="24"/>
              </w:rPr>
            </w:pPr>
          </w:p>
        </w:tc>
        <w:tc>
          <w:tcPr>
            <w:tcW w:w="0" w:type="auto"/>
            <w:vMerge/>
          </w:tcPr>
          <w:p w14:paraId="4D8A97CE" w14:textId="1BD75801" w:rsidR="000E38BA" w:rsidRPr="005D14B7" w:rsidRDefault="000E38BA" w:rsidP="000E38BA">
            <w:pPr>
              <w:pStyle w:val="TableParagraph"/>
              <w:ind w:left="108" w:right="147"/>
              <w:rPr>
                <w:sz w:val="24"/>
              </w:rPr>
            </w:pPr>
          </w:p>
        </w:tc>
        <w:tc>
          <w:tcPr>
            <w:tcW w:w="0" w:type="auto"/>
            <w:vMerge/>
          </w:tcPr>
          <w:p w14:paraId="58EE85E3" w14:textId="3DE70993" w:rsidR="000E38BA" w:rsidRPr="005D14B7" w:rsidRDefault="000E38BA" w:rsidP="000E38BA">
            <w:pPr>
              <w:pStyle w:val="TableParagraph"/>
              <w:ind w:left="108" w:right="140"/>
              <w:rPr>
                <w:sz w:val="24"/>
              </w:rPr>
            </w:pPr>
          </w:p>
        </w:tc>
        <w:tc>
          <w:tcPr>
            <w:tcW w:w="0" w:type="auto"/>
          </w:tcPr>
          <w:p w14:paraId="51933D51" w14:textId="20CCE0AA" w:rsidR="000E38BA" w:rsidRPr="005D14B7" w:rsidRDefault="725F14BC" w:rsidP="000018DA">
            <w:pPr>
              <w:pStyle w:val="TableParagraph"/>
              <w:spacing w:line="292" w:lineRule="exact"/>
              <w:ind w:left="108"/>
              <w:rPr>
                <w:sz w:val="24"/>
                <w:szCs w:val="24"/>
              </w:rPr>
            </w:pPr>
            <w:r w:rsidRPr="725F14BC">
              <w:rPr>
                <w:sz w:val="24"/>
                <w:szCs w:val="24"/>
                <w:lang w:val="cs-CZ"/>
              </w:rPr>
              <w:t xml:space="preserve">10 % v případě neuvedení podmínek plnění nebo technických specifikací nebo v případě nedostatečného vymezení </w:t>
            </w:r>
            <w:r w:rsidR="00DF4F8F" w:rsidRPr="725F14BC">
              <w:rPr>
                <w:sz w:val="24"/>
                <w:szCs w:val="24"/>
                <w:lang w:val="cs-CZ"/>
              </w:rPr>
              <w:t xml:space="preserve">kritérií </w:t>
            </w:r>
            <w:r w:rsidRPr="725F14BC">
              <w:rPr>
                <w:sz w:val="24"/>
                <w:szCs w:val="24"/>
                <w:lang w:val="cs-CZ"/>
              </w:rPr>
              <w:t>hodno</w:t>
            </w:r>
            <w:r w:rsidR="00DF4F8F">
              <w:rPr>
                <w:sz w:val="24"/>
                <w:szCs w:val="24"/>
                <w:lang w:val="cs-CZ"/>
              </w:rPr>
              <w:t>cení</w:t>
            </w:r>
            <w:r w:rsidRPr="725F14BC">
              <w:rPr>
                <w:sz w:val="24"/>
                <w:szCs w:val="24"/>
                <w:lang w:val="cs-CZ"/>
              </w:rPr>
              <w:t xml:space="preserve"> a jejich váhy, což má za následek nepřiměřené omezení hospodářské soutěže (tj. nedostatek podrobností mohl mít na </w:t>
            </w:r>
            <w:r w:rsidR="000018DA">
              <w:rPr>
                <w:sz w:val="24"/>
                <w:szCs w:val="24"/>
                <w:lang w:val="cs-CZ"/>
              </w:rPr>
              <w:lastRenderedPageBreak/>
              <w:t>účastníka</w:t>
            </w:r>
            <w:r w:rsidR="000018DA" w:rsidRPr="725F14BC">
              <w:rPr>
                <w:sz w:val="24"/>
                <w:szCs w:val="24"/>
                <w:lang w:val="cs-CZ"/>
              </w:rPr>
              <w:t xml:space="preserve"> </w:t>
            </w:r>
            <w:r w:rsidRPr="725F14BC">
              <w:rPr>
                <w:sz w:val="24"/>
                <w:szCs w:val="24"/>
                <w:lang w:val="cs-CZ"/>
              </w:rPr>
              <w:t xml:space="preserve">odrazující účinek) nebo v případě, kdy vysvětlení nebo doplňující informace (ke </w:t>
            </w:r>
            <w:r w:rsidR="000018DA" w:rsidRPr="725F14BC">
              <w:rPr>
                <w:sz w:val="24"/>
                <w:szCs w:val="24"/>
                <w:lang w:val="cs-CZ"/>
              </w:rPr>
              <w:t xml:space="preserve">kritériím </w:t>
            </w:r>
            <w:r w:rsidRPr="725F14BC">
              <w:rPr>
                <w:sz w:val="24"/>
                <w:szCs w:val="24"/>
                <w:lang w:val="cs-CZ"/>
              </w:rPr>
              <w:t>kvalifika</w:t>
            </w:r>
            <w:r w:rsidR="000018DA">
              <w:rPr>
                <w:sz w:val="24"/>
                <w:szCs w:val="24"/>
                <w:lang w:val="cs-CZ"/>
              </w:rPr>
              <w:t>ce</w:t>
            </w:r>
            <w:r w:rsidRPr="725F14BC">
              <w:rPr>
                <w:sz w:val="24"/>
                <w:szCs w:val="24"/>
                <w:lang w:val="cs-CZ"/>
              </w:rPr>
              <w:t xml:space="preserve"> a hodno</w:t>
            </w:r>
            <w:r w:rsidR="000018DA">
              <w:rPr>
                <w:sz w:val="24"/>
                <w:szCs w:val="24"/>
                <w:lang w:val="cs-CZ"/>
              </w:rPr>
              <w:t>cení</w:t>
            </w:r>
            <w:r w:rsidRPr="725F14BC">
              <w:rPr>
                <w:sz w:val="24"/>
                <w:szCs w:val="24"/>
                <w:lang w:val="cs-CZ"/>
              </w:rPr>
              <w:t xml:space="preserve">), které zadavatel poskytl, nebyly sděleny všem </w:t>
            </w:r>
            <w:r w:rsidR="000018DA">
              <w:rPr>
                <w:sz w:val="24"/>
                <w:szCs w:val="24"/>
                <w:lang w:val="cs-CZ"/>
              </w:rPr>
              <w:t>účastník</w:t>
            </w:r>
            <w:r w:rsidR="000018DA" w:rsidRPr="725F14BC">
              <w:rPr>
                <w:sz w:val="24"/>
                <w:szCs w:val="24"/>
                <w:lang w:val="cs-CZ"/>
              </w:rPr>
              <w:t xml:space="preserve">ům </w:t>
            </w:r>
            <w:r w:rsidRPr="725F14BC">
              <w:rPr>
                <w:sz w:val="24"/>
                <w:szCs w:val="24"/>
                <w:lang w:val="cs-CZ"/>
              </w:rPr>
              <w:t>nebo nebyly zveřejněny</w:t>
            </w:r>
          </w:p>
        </w:tc>
      </w:tr>
      <w:tr w:rsidR="000E38BA" w:rsidRPr="005D14B7" w14:paraId="7DCB094C" w14:textId="77777777" w:rsidTr="00D53428">
        <w:trPr>
          <w:trHeight w:val="545"/>
        </w:trPr>
        <w:tc>
          <w:tcPr>
            <w:tcW w:w="0" w:type="auto"/>
            <w:vMerge w:val="restart"/>
          </w:tcPr>
          <w:p w14:paraId="3A4D2C4C" w14:textId="77777777" w:rsidR="000E38BA" w:rsidRPr="005D14B7" w:rsidRDefault="725F14BC" w:rsidP="725F14BC">
            <w:pPr>
              <w:pStyle w:val="TableParagraph"/>
              <w:spacing w:line="272" w:lineRule="exact"/>
              <w:ind w:left="88" w:right="141"/>
              <w:jc w:val="center"/>
              <w:rPr>
                <w:b/>
                <w:bCs/>
                <w:sz w:val="24"/>
                <w:szCs w:val="24"/>
                <w:lang w:val="cs-CZ"/>
              </w:rPr>
            </w:pPr>
            <w:r w:rsidRPr="725F14BC">
              <w:rPr>
                <w:sz w:val="24"/>
                <w:szCs w:val="24"/>
                <w:lang w:val="cs-CZ"/>
              </w:rPr>
              <w:lastRenderedPageBreak/>
              <w:t>11.</w:t>
            </w:r>
          </w:p>
          <w:p w14:paraId="4CFBC257" w14:textId="7E54864E" w:rsidR="000E38BA" w:rsidRPr="005D14B7" w:rsidRDefault="000E38BA" w:rsidP="00262A26">
            <w:pPr>
              <w:pStyle w:val="TableParagraph"/>
              <w:spacing w:line="272" w:lineRule="exact"/>
              <w:ind w:left="88" w:right="141"/>
              <w:jc w:val="center"/>
              <w:rPr>
                <w:b/>
                <w:sz w:val="24"/>
                <w:lang w:val="cs-CZ"/>
              </w:rPr>
            </w:pPr>
          </w:p>
        </w:tc>
        <w:tc>
          <w:tcPr>
            <w:tcW w:w="0" w:type="auto"/>
            <w:vMerge w:val="restart"/>
          </w:tcPr>
          <w:p w14:paraId="4C93FD23" w14:textId="6ED3989F" w:rsidR="000E38BA" w:rsidRPr="005D14B7" w:rsidRDefault="725F14BC" w:rsidP="725F14BC">
            <w:pPr>
              <w:pStyle w:val="TableParagraph"/>
              <w:ind w:left="108" w:right="86"/>
              <w:rPr>
                <w:sz w:val="24"/>
                <w:szCs w:val="24"/>
                <w:lang w:val="cs-CZ"/>
              </w:rPr>
            </w:pPr>
            <w:r w:rsidRPr="725F14BC">
              <w:rPr>
                <w:sz w:val="24"/>
                <w:szCs w:val="24"/>
                <w:lang w:val="cs-CZ"/>
              </w:rPr>
              <w:t>Nastavení podmínek účasti</w:t>
            </w:r>
          </w:p>
          <w:p w14:paraId="26B3731B" w14:textId="4692F4D0" w:rsidR="000E38BA" w:rsidRPr="00572B4E" w:rsidRDefault="725F14BC" w:rsidP="000018DA">
            <w:pPr>
              <w:pStyle w:val="TableParagraph"/>
              <w:spacing w:line="272" w:lineRule="exact"/>
              <w:ind w:left="108"/>
              <w:rPr>
                <w:sz w:val="24"/>
                <w:szCs w:val="24"/>
                <w:lang w:val="cs-CZ"/>
              </w:rPr>
            </w:pPr>
            <w:r w:rsidRPr="725F14BC">
              <w:rPr>
                <w:sz w:val="24"/>
                <w:szCs w:val="24"/>
                <w:lang w:val="cs-CZ"/>
              </w:rPr>
              <w:t xml:space="preserve">v zadávacím/výběrovém řízení v rozporu se ZZVZ/Pokynem pro </w:t>
            </w:r>
            <w:r w:rsidR="000018DA">
              <w:rPr>
                <w:sz w:val="24"/>
                <w:szCs w:val="24"/>
                <w:lang w:val="cs-CZ"/>
              </w:rPr>
              <w:t xml:space="preserve">zadávání </w:t>
            </w:r>
            <w:r w:rsidRPr="725F14BC">
              <w:rPr>
                <w:sz w:val="24"/>
                <w:szCs w:val="24"/>
                <w:lang w:val="cs-CZ"/>
              </w:rPr>
              <w:t>VZMR/</w:t>
            </w:r>
            <w:r w:rsidR="000018DA" w:rsidRPr="725F14BC" w:rsidDel="000018DA">
              <w:rPr>
                <w:sz w:val="24"/>
                <w:szCs w:val="24"/>
                <w:lang w:val="cs-CZ"/>
              </w:rPr>
              <w:t xml:space="preserve"> </w:t>
            </w:r>
            <w:r w:rsidRPr="725F14BC">
              <w:rPr>
                <w:sz w:val="24"/>
                <w:szCs w:val="24"/>
                <w:lang w:val="cs-CZ"/>
              </w:rPr>
              <w:t>Interním pokynem KP</w:t>
            </w:r>
          </w:p>
        </w:tc>
        <w:tc>
          <w:tcPr>
            <w:tcW w:w="0" w:type="auto"/>
            <w:vMerge w:val="restart"/>
          </w:tcPr>
          <w:p w14:paraId="6632965B" w14:textId="0EC69C84" w:rsidR="000E38BA" w:rsidRPr="005D14B7" w:rsidRDefault="725F14BC" w:rsidP="725F14BC">
            <w:pPr>
              <w:pStyle w:val="TableParagraph"/>
              <w:ind w:left="108" w:right="87"/>
              <w:rPr>
                <w:sz w:val="24"/>
                <w:szCs w:val="24"/>
                <w:lang w:val="cs-CZ"/>
              </w:rPr>
            </w:pPr>
            <w:r w:rsidRPr="725F14BC">
              <w:rPr>
                <w:sz w:val="24"/>
                <w:szCs w:val="24"/>
                <w:lang w:val="cs-CZ"/>
              </w:rPr>
              <w:t>Zadavatel stanovil podmínky pro účast</w:t>
            </w:r>
          </w:p>
          <w:p w14:paraId="66C5E1AE" w14:textId="566B27F3" w:rsidR="000E38BA" w:rsidRPr="005D14B7" w:rsidRDefault="725F14BC" w:rsidP="725F14BC">
            <w:pPr>
              <w:pStyle w:val="TableParagraph"/>
              <w:spacing w:line="272" w:lineRule="exact"/>
              <w:ind w:left="108"/>
              <w:rPr>
                <w:b/>
                <w:bCs/>
                <w:sz w:val="24"/>
                <w:szCs w:val="24"/>
                <w:lang w:val="cs-CZ"/>
              </w:rPr>
            </w:pPr>
            <w:r w:rsidRPr="725F14BC">
              <w:rPr>
                <w:sz w:val="24"/>
                <w:szCs w:val="24"/>
                <w:lang w:val="cs-CZ"/>
              </w:rPr>
              <w:t>v zadávacím/výběrovém řízení</w:t>
            </w:r>
            <w:r w:rsidR="000018DA">
              <w:rPr>
                <w:sz w:val="24"/>
                <w:szCs w:val="24"/>
                <w:lang w:val="cs-CZ"/>
              </w:rPr>
              <w:t xml:space="preserve"> v rozporu </w:t>
            </w:r>
            <w:r w:rsidR="000018DA" w:rsidRPr="725F14BC">
              <w:rPr>
                <w:sz w:val="24"/>
                <w:szCs w:val="24"/>
                <w:lang w:val="cs-CZ"/>
              </w:rPr>
              <w:t xml:space="preserve">se ZZVZ/Pokynem pro </w:t>
            </w:r>
            <w:r w:rsidR="000018DA">
              <w:rPr>
                <w:sz w:val="24"/>
                <w:szCs w:val="24"/>
                <w:lang w:val="cs-CZ"/>
              </w:rPr>
              <w:t xml:space="preserve">zadávání </w:t>
            </w:r>
            <w:r w:rsidR="000018DA" w:rsidRPr="725F14BC">
              <w:rPr>
                <w:sz w:val="24"/>
                <w:szCs w:val="24"/>
                <w:lang w:val="cs-CZ"/>
              </w:rPr>
              <w:t>VZMR/</w:t>
            </w:r>
            <w:r w:rsidR="000018DA" w:rsidRPr="725F14BC" w:rsidDel="000018DA">
              <w:rPr>
                <w:sz w:val="24"/>
                <w:szCs w:val="24"/>
                <w:lang w:val="cs-CZ"/>
              </w:rPr>
              <w:t xml:space="preserve"> </w:t>
            </w:r>
            <w:r w:rsidR="000018DA" w:rsidRPr="725F14BC">
              <w:rPr>
                <w:sz w:val="24"/>
                <w:szCs w:val="24"/>
                <w:lang w:val="cs-CZ"/>
              </w:rPr>
              <w:t>Interním pokynem KP</w:t>
            </w:r>
          </w:p>
        </w:tc>
        <w:tc>
          <w:tcPr>
            <w:tcW w:w="0" w:type="auto"/>
          </w:tcPr>
          <w:p w14:paraId="450DC51E" w14:textId="5678F8FD" w:rsidR="000E38BA" w:rsidRPr="005D14B7" w:rsidRDefault="725F14BC" w:rsidP="725F14BC">
            <w:pPr>
              <w:pStyle w:val="TableParagraph"/>
              <w:spacing w:line="272" w:lineRule="exact"/>
              <w:ind w:left="108"/>
              <w:rPr>
                <w:b/>
                <w:bCs/>
                <w:sz w:val="24"/>
                <w:szCs w:val="24"/>
                <w:lang w:val="cs-CZ"/>
              </w:rPr>
            </w:pPr>
            <w:r w:rsidRPr="725F14BC">
              <w:rPr>
                <w:sz w:val="24"/>
                <w:szCs w:val="24"/>
                <w:lang w:val="cs-CZ"/>
              </w:rPr>
              <w:t>25 %</w:t>
            </w:r>
          </w:p>
        </w:tc>
      </w:tr>
      <w:tr w:rsidR="000E38BA" w:rsidRPr="005D14B7" w14:paraId="14EB05AA" w14:textId="77777777" w:rsidTr="00D53428">
        <w:trPr>
          <w:trHeight w:val="292"/>
        </w:trPr>
        <w:tc>
          <w:tcPr>
            <w:tcW w:w="0" w:type="auto"/>
            <w:vMerge/>
          </w:tcPr>
          <w:p w14:paraId="7EEC7192" w14:textId="1855FCFA" w:rsidR="000E38BA" w:rsidRDefault="000E38BA" w:rsidP="00262A26">
            <w:pPr>
              <w:pStyle w:val="TableParagraph"/>
              <w:spacing w:line="272" w:lineRule="exact"/>
              <w:ind w:left="88" w:right="141"/>
              <w:jc w:val="center"/>
              <w:rPr>
                <w:sz w:val="24"/>
              </w:rPr>
            </w:pPr>
          </w:p>
        </w:tc>
        <w:tc>
          <w:tcPr>
            <w:tcW w:w="0" w:type="auto"/>
            <w:vMerge/>
          </w:tcPr>
          <w:p w14:paraId="4FCDFD60" w14:textId="77777777" w:rsidR="000E38BA" w:rsidRDefault="000E38BA" w:rsidP="00262A26">
            <w:pPr>
              <w:pStyle w:val="TableParagraph"/>
              <w:ind w:left="108" w:right="86"/>
              <w:rPr>
                <w:sz w:val="24"/>
              </w:rPr>
            </w:pPr>
          </w:p>
        </w:tc>
        <w:tc>
          <w:tcPr>
            <w:tcW w:w="0" w:type="auto"/>
            <w:vMerge/>
          </w:tcPr>
          <w:p w14:paraId="2C7E3826" w14:textId="77777777" w:rsidR="000E38BA" w:rsidRDefault="000E38BA" w:rsidP="00262A26">
            <w:pPr>
              <w:pStyle w:val="TableParagraph"/>
              <w:ind w:left="108" w:right="87"/>
              <w:rPr>
                <w:sz w:val="24"/>
              </w:rPr>
            </w:pPr>
          </w:p>
        </w:tc>
        <w:tc>
          <w:tcPr>
            <w:tcW w:w="0" w:type="auto"/>
          </w:tcPr>
          <w:p w14:paraId="013CCF58" w14:textId="6A6A748C" w:rsidR="000E38BA" w:rsidRDefault="725F14BC" w:rsidP="000018DA">
            <w:pPr>
              <w:pStyle w:val="TableParagraph"/>
              <w:spacing w:line="272" w:lineRule="exact"/>
              <w:ind w:left="108"/>
              <w:rPr>
                <w:sz w:val="24"/>
                <w:szCs w:val="24"/>
              </w:rPr>
            </w:pPr>
            <w:r w:rsidRPr="725F14BC">
              <w:rPr>
                <w:sz w:val="24"/>
                <w:szCs w:val="24"/>
                <w:lang w:val="cs-CZ"/>
              </w:rPr>
              <w:t xml:space="preserve">5–10 % v případech, kdy i přes </w:t>
            </w:r>
            <w:r w:rsidR="000018DA">
              <w:rPr>
                <w:sz w:val="24"/>
                <w:szCs w:val="24"/>
                <w:lang w:val="cs-CZ"/>
              </w:rPr>
              <w:t>rozpor</w:t>
            </w:r>
            <w:r w:rsidRPr="725F14BC">
              <w:rPr>
                <w:sz w:val="24"/>
                <w:szCs w:val="24"/>
                <w:lang w:val="cs-CZ"/>
              </w:rPr>
              <w:t xml:space="preserve"> byla zachována minimální míra hospodářské soutěže, tj. určitý počet </w:t>
            </w:r>
            <w:r w:rsidR="000018DA">
              <w:rPr>
                <w:sz w:val="24"/>
                <w:szCs w:val="24"/>
                <w:lang w:val="cs-CZ"/>
              </w:rPr>
              <w:t>účastníků</w:t>
            </w:r>
            <w:r w:rsidR="000018DA" w:rsidRPr="725F14BC">
              <w:rPr>
                <w:sz w:val="24"/>
                <w:szCs w:val="24"/>
                <w:lang w:val="cs-CZ"/>
              </w:rPr>
              <w:t xml:space="preserve"> </w:t>
            </w:r>
            <w:r w:rsidRPr="725F14BC">
              <w:rPr>
                <w:sz w:val="24"/>
                <w:szCs w:val="24"/>
                <w:lang w:val="cs-CZ"/>
              </w:rPr>
              <w:t>předložil nabídky, které byly přijaty a splnily kritéria pro výběr</w:t>
            </w:r>
          </w:p>
        </w:tc>
      </w:tr>
      <w:tr w:rsidR="000E38BA" w:rsidRPr="005D14B7" w14:paraId="79DD8B3F" w14:textId="77777777" w:rsidTr="00D53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6"/>
        </w:trPr>
        <w:tc>
          <w:tcPr>
            <w:tcW w:w="0" w:type="auto"/>
            <w:tcBorders>
              <w:bottom w:val="single" w:sz="4" w:space="0" w:color="auto"/>
            </w:tcBorders>
          </w:tcPr>
          <w:p w14:paraId="07459315" w14:textId="3BD48E31" w:rsidR="000E38BA" w:rsidRPr="005D14B7" w:rsidRDefault="725F14BC" w:rsidP="00B34FDD">
            <w:pPr>
              <w:pStyle w:val="TableParagraph"/>
              <w:spacing w:line="292" w:lineRule="exact"/>
              <w:ind w:left="107"/>
              <w:rPr>
                <w:rFonts w:ascii="Times New Roman"/>
                <w:sz w:val="24"/>
                <w:szCs w:val="24"/>
                <w:lang w:val="cs-CZ"/>
              </w:rPr>
            </w:pPr>
            <w:r w:rsidRPr="725F14BC">
              <w:rPr>
                <w:sz w:val="24"/>
                <w:szCs w:val="24"/>
                <w:lang w:val="cs-CZ"/>
              </w:rPr>
              <w:t>12.</w:t>
            </w:r>
          </w:p>
        </w:tc>
        <w:tc>
          <w:tcPr>
            <w:tcW w:w="0" w:type="auto"/>
            <w:tcBorders>
              <w:bottom w:val="single" w:sz="4" w:space="0" w:color="auto"/>
            </w:tcBorders>
          </w:tcPr>
          <w:p w14:paraId="6537F28F" w14:textId="11061FD0" w:rsidR="000E38BA" w:rsidRPr="005D14B7" w:rsidRDefault="725F14BC" w:rsidP="000018DA">
            <w:pPr>
              <w:pStyle w:val="TableParagraph"/>
              <w:ind w:left="0"/>
              <w:rPr>
                <w:rFonts w:ascii="Times New Roman"/>
                <w:sz w:val="24"/>
                <w:szCs w:val="24"/>
                <w:lang w:val="cs-CZ"/>
              </w:rPr>
            </w:pPr>
            <w:r w:rsidRPr="725F14BC">
              <w:rPr>
                <w:sz w:val="24"/>
                <w:szCs w:val="24"/>
                <w:lang w:val="cs-CZ"/>
              </w:rPr>
              <w:t>Nedostatečné či nepřesné vymezení předmětu veřejné zakázky</w:t>
            </w:r>
          </w:p>
        </w:tc>
        <w:tc>
          <w:tcPr>
            <w:tcW w:w="0" w:type="auto"/>
            <w:tcBorders>
              <w:bottom w:val="single" w:sz="4" w:space="0" w:color="auto"/>
            </w:tcBorders>
          </w:tcPr>
          <w:p w14:paraId="288768AE" w14:textId="32FF3931" w:rsidR="000E38BA" w:rsidRPr="005D14B7" w:rsidRDefault="725F14BC" w:rsidP="00B34FDD">
            <w:pPr>
              <w:pStyle w:val="TableParagraph"/>
              <w:ind w:left="108" w:right="233"/>
              <w:rPr>
                <w:sz w:val="24"/>
                <w:szCs w:val="24"/>
                <w:lang w:val="cs-CZ"/>
              </w:rPr>
            </w:pPr>
            <w:r w:rsidRPr="725F14BC">
              <w:rPr>
                <w:sz w:val="24"/>
                <w:szCs w:val="24"/>
                <w:lang w:val="cs-CZ"/>
              </w:rPr>
              <w:t>Zadavatel nedostatečně nebo nepřesně definoval předmět veřejné zakázky</w:t>
            </w:r>
            <w:r w:rsidR="000018DA">
              <w:rPr>
                <w:sz w:val="24"/>
                <w:szCs w:val="24"/>
                <w:lang w:val="cs-CZ"/>
              </w:rPr>
              <w:t xml:space="preserve"> v zadávací dokumentaci (např. </w:t>
            </w:r>
          </w:p>
          <w:p w14:paraId="42CABF58" w14:textId="0441E359" w:rsidR="000E38BA" w:rsidRPr="005D14B7" w:rsidRDefault="725F14BC" w:rsidP="000018DA">
            <w:pPr>
              <w:pStyle w:val="TableParagraph"/>
              <w:ind w:left="108" w:right="567"/>
              <w:rPr>
                <w:sz w:val="24"/>
                <w:szCs w:val="24"/>
                <w:lang w:val="cs-CZ"/>
              </w:rPr>
            </w:pPr>
            <w:r w:rsidRPr="725F14BC">
              <w:rPr>
                <w:sz w:val="24"/>
                <w:szCs w:val="24"/>
                <w:lang w:val="cs-CZ"/>
              </w:rPr>
              <w:t>v oznámení/výzvě o zahájení zadávacího/výběrového řízení</w:t>
            </w:r>
            <w:r w:rsidR="000018DA">
              <w:rPr>
                <w:sz w:val="24"/>
                <w:szCs w:val="24"/>
                <w:lang w:val="cs-CZ"/>
              </w:rPr>
              <w:t>)</w:t>
            </w:r>
            <w:r w:rsidRPr="725F14BC">
              <w:rPr>
                <w:sz w:val="24"/>
                <w:szCs w:val="24"/>
                <w:lang w:val="cs-CZ"/>
              </w:rPr>
              <w:t xml:space="preserve"> </w:t>
            </w:r>
          </w:p>
        </w:tc>
        <w:tc>
          <w:tcPr>
            <w:tcW w:w="0" w:type="auto"/>
            <w:tcBorders>
              <w:bottom w:val="single" w:sz="4" w:space="0" w:color="auto"/>
            </w:tcBorders>
          </w:tcPr>
          <w:p w14:paraId="27F39AC3" w14:textId="476BDAD0" w:rsidR="000E38BA" w:rsidRPr="005D14B7" w:rsidRDefault="725F14BC" w:rsidP="00B34FDD">
            <w:pPr>
              <w:pStyle w:val="TableParagraph"/>
              <w:ind w:left="108" w:right="141"/>
              <w:rPr>
                <w:sz w:val="24"/>
                <w:szCs w:val="24"/>
                <w:lang w:val="cs-CZ"/>
              </w:rPr>
            </w:pPr>
            <w:r w:rsidRPr="725F14BC">
              <w:rPr>
                <w:sz w:val="24"/>
                <w:szCs w:val="24"/>
                <w:lang w:val="cs-CZ"/>
              </w:rPr>
              <w:t>5-10 %</w:t>
            </w:r>
          </w:p>
        </w:tc>
      </w:tr>
      <w:tr w:rsidR="00B34FDD" w:rsidRPr="005D14B7" w14:paraId="3D39EE27" w14:textId="77777777" w:rsidTr="00D534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7"/>
        </w:trPr>
        <w:tc>
          <w:tcPr>
            <w:tcW w:w="0" w:type="auto"/>
            <w:vMerge w:val="restart"/>
            <w:tcBorders>
              <w:top w:val="single" w:sz="4" w:space="0" w:color="auto"/>
              <w:left w:val="single" w:sz="4" w:space="0" w:color="auto"/>
              <w:bottom w:val="single" w:sz="4" w:space="0" w:color="auto"/>
              <w:right w:val="single" w:sz="4" w:space="0" w:color="auto"/>
            </w:tcBorders>
          </w:tcPr>
          <w:p w14:paraId="70C9C735" w14:textId="77777777" w:rsidR="00B34FDD" w:rsidRPr="005D14B7" w:rsidRDefault="00B34FDD" w:rsidP="00262A26">
            <w:pPr>
              <w:pStyle w:val="TableParagraph"/>
              <w:spacing w:line="292" w:lineRule="exact"/>
              <w:ind w:left="88" w:right="231"/>
              <w:jc w:val="center"/>
              <w:rPr>
                <w:sz w:val="24"/>
              </w:rPr>
            </w:pPr>
          </w:p>
          <w:p w14:paraId="07EC2AED" w14:textId="77777777" w:rsidR="00B34FDD" w:rsidRPr="005D14B7" w:rsidRDefault="00B34FDD" w:rsidP="00262A26">
            <w:pPr>
              <w:pStyle w:val="TableParagraph"/>
              <w:spacing w:line="292" w:lineRule="exact"/>
              <w:ind w:left="88" w:right="231"/>
              <w:jc w:val="center"/>
              <w:rPr>
                <w:sz w:val="24"/>
                <w:szCs w:val="24"/>
              </w:rPr>
            </w:pPr>
            <w:r w:rsidRPr="725F14BC">
              <w:rPr>
                <w:sz w:val="24"/>
                <w:szCs w:val="24"/>
                <w:lang w:val="cs-CZ"/>
              </w:rPr>
              <w:t>13.</w:t>
            </w:r>
          </w:p>
        </w:tc>
        <w:tc>
          <w:tcPr>
            <w:tcW w:w="0" w:type="auto"/>
            <w:vMerge w:val="restart"/>
            <w:tcBorders>
              <w:top w:val="single" w:sz="4" w:space="0" w:color="auto"/>
              <w:left w:val="single" w:sz="4" w:space="0" w:color="auto"/>
              <w:bottom w:val="single" w:sz="4" w:space="0" w:color="auto"/>
              <w:right w:val="single" w:sz="4" w:space="0" w:color="auto"/>
            </w:tcBorders>
          </w:tcPr>
          <w:p w14:paraId="0A378484" w14:textId="77777777" w:rsidR="00B34FDD" w:rsidRPr="005D14B7" w:rsidRDefault="00B34FDD" w:rsidP="00262A26">
            <w:pPr>
              <w:pStyle w:val="TableParagraph"/>
              <w:ind w:left="108"/>
              <w:rPr>
                <w:sz w:val="24"/>
                <w:szCs w:val="24"/>
                <w:lang w:val="cs-CZ"/>
              </w:rPr>
            </w:pPr>
            <w:r w:rsidRPr="725F14BC">
              <w:rPr>
                <w:sz w:val="24"/>
                <w:szCs w:val="24"/>
                <w:lang w:val="cs-CZ"/>
              </w:rPr>
              <w:t>Použití jednacího řízení</w:t>
            </w:r>
          </w:p>
          <w:p w14:paraId="0EE37B32" w14:textId="77777777" w:rsidR="00B34FDD" w:rsidRPr="005D14B7" w:rsidRDefault="00B34FDD" w:rsidP="00262A26">
            <w:pPr>
              <w:pStyle w:val="TableParagraph"/>
              <w:ind w:left="108"/>
              <w:rPr>
                <w:sz w:val="24"/>
                <w:szCs w:val="24"/>
                <w:lang w:val="cs-CZ"/>
              </w:rPr>
            </w:pPr>
            <w:r w:rsidRPr="725F14BC">
              <w:rPr>
                <w:sz w:val="24"/>
                <w:szCs w:val="24"/>
                <w:lang w:val="cs-CZ"/>
              </w:rPr>
              <w:t>s uveřejněním nebo soutěžního dialogu</w:t>
            </w:r>
          </w:p>
          <w:p w14:paraId="47F9EC54" w14:textId="77777777" w:rsidR="00B34FDD" w:rsidRPr="005D14B7" w:rsidRDefault="00B34FDD" w:rsidP="00262A26">
            <w:pPr>
              <w:pStyle w:val="TableParagraph"/>
              <w:ind w:left="108" w:right="202"/>
              <w:rPr>
                <w:sz w:val="24"/>
                <w:szCs w:val="24"/>
              </w:rPr>
            </w:pPr>
            <w:r w:rsidRPr="725F14BC">
              <w:rPr>
                <w:sz w:val="24"/>
                <w:szCs w:val="24"/>
                <w:lang w:val="cs-CZ"/>
              </w:rPr>
              <w:t>v rozporu se ZZVZ</w:t>
            </w:r>
          </w:p>
        </w:tc>
        <w:tc>
          <w:tcPr>
            <w:tcW w:w="0" w:type="auto"/>
            <w:vMerge w:val="restart"/>
            <w:tcBorders>
              <w:top w:val="single" w:sz="4" w:space="0" w:color="auto"/>
              <w:left w:val="single" w:sz="4" w:space="0" w:color="auto"/>
              <w:bottom w:val="single" w:sz="4" w:space="0" w:color="auto"/>
              <w:right w:val="single" w:sz="4" w:space="0" w:color="auto"/>
            </w:tcBorders>
          </w:tcPr>
          <w:p w14:paraId="59EC3113" w14:textId="77777777" w:rsidR="00B34FDD" w:rsidRPr="005D14B7" w:rsidRDefault="00B34FDD" w:rsidP="00262A26">
            <w:pPr>
              <w:pStyle w:val="TableParagraph"/>
              <w:ind w:left="108" w:right="676"/>
              <w:jc w:val="both"/>
              <w:rPr>
                <w:sz w:val="24"/>
                <w:szCs w:val="24"/>
                <w:lang w:val="cs-CZ"/>
              </w:rPr>
            </w:pPr>
            <w:r w:rsidRPr="725F14BC">
              <w:rPr>
                <w:sz w:val="24"/>
                <w:szCs w:val="24"/>
                <w:lang w:val="cs-CZ"/>
              </w:rPr>
              <w:t>Zadavatel zadal veřejnou zakázku v jednacím řízení s uveřejněním nebo v</w:t>
            </w:r>
          </w:p>
          <w:p w14:paraId="55238895" w14:textId="6EBB78F0" w:rsidR="00B34FDD" w:rsidRPr="005D14B7" w:rsidRDefault="00B34FDD" w:rsidP="00262A26">
            <w:pPr>
              <w:pStyle w:val="TableParagraph"/>
              <w:spacing w:line="290" w:lineRule="atLeast"/>
              <w:ind w:left="108" w:right="203"/>
              <w:rPr>
                <w:sz w:val="24"/>
                <w:szCs w:val="24"/>
              </w:rPr>
            </w:pPr>
            <w:r w:rsidRPr="725F14BC">
              <w:rPr>
                <w:sz w:val="24"/>
                <w:szCs w:val="24"/>
                <w:lang w:val="cs-CZ"/>
              </w:rPr>
              <w:t>soutěžním dialogu v rozporu</w:t>
            </w:r>
            <w:r w:rsidRPr="725F14BC">
              <w:rPr>
                <w:spacing w:val="-13"/>
                <w:sz w:val="24"/>
                <w:szCs w:val="24"/>
                <w:lang w:val="cs-CZ"/>
              </w:rPr>
              <w:t xml:space="preserve"> </w:t>
            </w:r>
            <w:r w:rsidRPr="725F14BC">
              <w:rPr>
                <w:sz w:val="24"/>
                <w:szCs w:val="24"/>
                <w:lang w:val="cs-CZ"/>
              </w:rPr>
              <w:t>se ZZVZ nebo v průběhu jednacího řízení s</w:t>
            </w:r>
            <w:r w:rsidR="00262A26">
              <w:rPr>
                <w:sz w:val="24"/>
                <w:szCs w:val="24"/>
                <w:lang w:val="cs-CZ"/>
              </w:rPr>
              <w:t> </w:t>
            </w:r>
            <w:r w:rsidRPr="725F14BC">
              <w:rPr>
                <w:sz w:val="24"/>
                <w:szCs w:val="24"/>
                <w:lang w:val="cs-CZ"/>
              </w:rPr>
              <w:t>uveřejněním</w:t>
            </w:r>
            <w:r w:rsidR="00262A26">
              <w:rPr>
                <w:sz w:val="24"/>
                <w:szCs w:val="24"/>
                <w:lang w:val="cs-CZ"/>
              </w:rPr>
              <w:t xml:space="preserve"> nebo v soutěžním dialogu</w:t>
            </w:r>
            <w:r w:rsidRPr="725F14BC">
              <w:rPr>
                <w:sz w:val="24"/>
                <w:szCs w:val="24"/>
                <w:lang w:val="cs-CZ"/>
              </w:rPr>
              <w:t xml:space="preserve"> podstatně změnil zadávací podmínky</w:t>
            </w:r>
            <w:r w:rsidR="00262A26">
              <w:rPr>
                <w:sz w:val="24"/>
                <w:szCs w:val="24"/>
                <w:lang w:val="cs-CZ"/>
              </w:rPr>
              <w:t xml:space="preserve"> v rozporu se ZZVZ</w:t>
            </w:r>
          </w:p>
        </w:tc>
        <w:tc>
          <w:tcPr>
            <w:tcW w:w="0" w:type="auto"/>
            <w:tcBorders>
              <w:top w:val="single" w:sz="4" w:space="0" w:color="auto"/>
              <w:left w:val="single" w:sz="4" w:space="0" w:color="auto"/>
              <w:bottom w:val="single" w:sz="4" w:space="0" w:color="auto"/>
              <w:right w:val="single" w:sz="4" w:space="0" w:color="auto"/>
            </w:tcBorders>
          </w:tcPr>
          <w:p w14:paraId="4F3B9E6F" w14:textId="77777777" w:rsidR="00B34FDD" w:rsidRPr="005D14B7" w:rsidRDefault="00B34FDD" w:rsidP="00262A26">
            <w:pPr>
              <w:pStyle w:val="TableParagraph"/>
              <w:ind w:left="108" w:right="204"/>
              <w:rPr>
                <w:sz w:val="24"/>
                <w:szCs w:val="24"/>
              </w:rPr>
            </w:pPr>
            <w:r w:rsidRPr="725F14BC">
              <w:rPr>
                <w:sz w:val="24"/>
                <w:szCs w:val="24"/>
              </w:rPr>
              <w:t>25 %</w:t>
            </w:r>
          </w:p>
        </w:tc>
      </w:tr>
      <w:tr w:rsidR="00B34FDD" w:rsidRPr="005D14B7" w14:paraId="1652A744" w14:textId="77777777" w:rsidTr="00D534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15"/>
        </w:trPr>
        <w:tc>
          <w:tcPr>
            <w:tcW w:w="0" w:type="auto"/>
            <w:vMerge/>
            <w:tcBorders>
              <w:top w:val="single" w:sz="4" w:space="0" w:color="auto"/>
              <w:left w:val="single" w:sz="4" w:space="0" w:color="auto"/>
              <w:bottom w:val="single" w:sz="4" w:space="0" w:color="auto"/>
              <w:right w:val="single" w:sz="4" w:space="0" w:color="auto"/>
            </w:tcBorders>
          </w:tcPr>
          <w:p w14:paraId="7272223C" w14:textId="77777777" w:rsidR="00B34FDD" w:rsidRPr="005D14B7" w:rsidRDefault="00B34FDD" w:rsidP="00262A26">
            <w:pPr>
              <w:pStyle w:val="TableParagraph"/>
              <w:spacing w:line="292" w:lineRule="exact"/>
              <w:ind w:left="88" w:right="231"/>
              <w:jc w:val="center"/>
              <w:rPr>
                <w:sz w:val="24"/>
                <w:lang w:val="cs-CZ"/>
              </w:rPr>
            </w:pPr>
          </w:p>
        </w:tc>
        <w:tc>
          <w:tcPr>
            <w:tcW w:w="0" w:type="auto"/>
            <w:vMerge/>
            <w:tcBorders>
              <w:top w:val="single" w:sz="4" w:space="0" w:color="auto"/>
              <w:left w:val="single" w:sz="4" w:space="0" w:color="auto"/>
              <w:bottom w:val="single" w:sz="4" w:space="0" w:color="auto"/>
              <w:right w:val="single" w:sz="4" w:space="0" w:color="auto"/>
            </w:tcBorders>
          </w:tcPr>
          <w:p w14:paraId="1F98505C" w14:textId="77777777" w:rsidR="00B34FDD" w:rsidRPr="005D14B7" w:rsidRDefault="00B34FDD" w:rsidP="00262A26">
            <w:pPr>
              <w:pStyle w:val="TableParagraph"/>
              <w:ind w:left="108" w:right="202"/>
              <w:rPr>
                <w:sz w:val="24"/>
                <w:lang w:val="cs-CZ"/>
              </w:rPr>
            </w:pPr>
          </w:p>
        </w:tc>
        <w:tc>
          <w:tcPr>
            <w:tcW w:w="0" w:type="auto"/>
            <w:vMerge/>
            <w:tcBorders>
              <w:top w:val="single" w:sz="4" w:space="0" w:color="auto"/>
              <w:left w:val="single" w:sz="4" w:space="0" w:color="auto"/>
              <w:bottom w:val="single" w:sz="4" w:space="0" w:color="auto"/>
              <w:right w:val="single" w:sz="4" w:space="0" w:color="auto"/>
            </w:tcBorders>
          </w:tcPr>
          <w:p w14:paraId="314F96F0" w14:textId="77777777" w:rsidR="00B34FDD" w:rsidRPr="005D14B7" w:rsidRDefault="00B34FDD" w:rsidP="00262A26">
            <w:pPr>
              <w:pStyle w:val="TableParagraph"/>
              <w:spacing w:line="290" w:lineRule="atLeast"/>
              <w:ind w:left="108" w:right="203"/>
              <w:rPr>
                <w:sz w:val="24"/>
                <w:lang w:val="cs-CZ"/>
              </w:rPr>
            </w:pPr>
          </w:p>
        </w:tc>
        <w:tc>
          <w:tcPr>
            <w:tcW w:w="0" w:type="auto"/>
            <w:tcBorders>
              <w:top w:val="single" w:sz="4" w:space="0" w:color="auto"/>
              <w:left w:val="single" w:sz="4" w:space="0" w:color="auto"/>
              <w:bottom w:val="single" w:sz="4" w:space="0" w:color="auto"/>
              <w:right w:val="single" w:sz="4" w:space="0" w:color="auto"/>
            </w:tcBorders>
          </w:tcPr>
          <w:p w14:paraId="555E53E5" w14:textId="77777777" w:rsidR="00B34FDD" w:rsidRPr="005D14B7" w:rsidRDefault="00B34FDD" w:rsidP="00262A26">
            <w:pPr>
              <w:pStyle w:val="TableParagraph"/>
              <w:ind w:left="108" w:right="204"/>
              <w:rPr>
                <w:sz w:val="24"/>
                <w:szCs w:val="24"/>
                <w:lang w:val="cs-CZ"/>
              </w:rPr>
            </w:pPr>
            <w:r w:rsidRPr="725F14BC">
              <w:rPr>
                <w:sz w:val="24"/>
                <w:szCs w:val="24"/>
                <w:lang w:val="cs-CZ"/>
              </w:rPr>
              <w:t>5-10 % v případech, kdy byla zajištěna úplná transparentnost, včetně odůvodnění použití těchto postupů v zadávací dokumentaci, nebyl neomezen počet účastníků vyzvaných k podání</w:t>
            </w:r>
          </w:p>
          <w:p w14:paraId="1EC568D0" w14:textId="77777777" w:rsidR="00B34FDD" w:rsidRPr="005D14B7" w:rsidRDefault="00B34FDD" w:rsidP="00262A26">
            <w:pPr>
              <w:pStyle w:val="TableParagraph"/>
              <w:spacing w:line="292" w:lineRule="exact"/>
              <w:ind w:left="108"/>
              <w:rPr>
                <w:sz w:val="24"/>
                <w:szCs w:val="24"/>
                <w:lang w:val="cs-CZ"/>
              </w:rPr>
            </w:pPr>
            <w:r w:rsidRPr="725F14BC">
              <w:rPr>
                <w:sz w:val="24"/>
                <w:szCs w:val="24"/>
                <w:lang w:val="cs-CZ"/>
              </w:rPr>
              <w:t>předběžných nabídek, a bylo zajištěno rovné zacházení se všemi účastníky v průběhu jednání</w:t>
            </w:r>
          </w:p>
        </w:tc>
      </w:tr>
      <w:tr w:rsidR="0024085F" w:rsidRPr="00D93332" w14:paraId="59B1D8DE" w14:textId="77777777" w:rsidTr="00D53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7"/>
        </w:trPr>
        <w:tc>
          <w:tcPr>
            <w:tcW w:w="0" w:type="auto"/>
            <w:vMerge w:val="restart"/>
            <w:tcBorders>
              <w:top w:val="single" w:sz="4" w:space="0" w:color="auto"/>
            </w:tcBorders>
          </w:tcPr>
          <w:p w14:paraId="3F68EDA8" w14:textId="77777777" w:rsidR="0024085F" w:rsidRPr="00D93332" w:rsidRDefault="0024085F" w:rsidP="00D93332">
            <w:pPr>
              <w:pStyle w:val="TableParagraph"/>
              <w:ind w:right="218"/>
              <w:rPr>
                <w:sz w:val="24"/>
                <w:szCs w:val="24"/>
                <w:lang w:val="cs-CZ"/>
              </w:rPr>
            </w:pPr>
          </w:p>
          <w:p w14:paraId="11F6CC78" w14:textId="677E76EC" w:rsidR="0024085F" w:rsidRPr="00D93332" w:rsidRDefault="725F14BC" w:rsidP="00D93332">
            <w:pPr>
              <w:pStyle w:val="TableParagraph"/>
              <w:ind w:right="218"/>
              <w:rPr>
                <w:sz w:val="24"/>
                <w:szCs w:val="24"/>
                <w:lang w:val="cs-CZ"/>
              </w:rPr>
            </w:pPr>
            <w:r w:rsidRPr="00D93332">
              <w:rPr>
                <w:sz w:val="24"/>
                <w:szCs w:val="24"/>
                <w:lang w:val="cs-CZ"/>
              </w:rPr>
              <w:t>1</w:t>
            </w:r>
            <w:r w:rsidR="00FA4527" w:rsidRPr="00D93332">
              <w:rPr>
                <w:sz w:val="24"/>
                <w:szCs w:val="24"/>
                <w:lang w:val="cs-CZ"/>
              </w:rPr>
              <w:t>4</w:t>
            </w:r>
            <w:r w:rsidRPr="00D93332">
              <w:rPr>
                <w:sz w:val="24"/>
                <w:szCs w:val="24"/>
                <w:lang w:val="cs-CZ"/>
              </w:rPr>
              <w:t>.</w:t>
            </w:r>
          </w:p>
        </w:tc>
        <w:tc>
          <w:tcPr>
            <w:tcW w:w="0" w:type="auto"/>
            <w:vMerge w:val="restart"/>
            <w:tcBorders>
              <w:top w:val="single" w:sz="4" w:space="0" w:color="auto"/>
            </w:tcBorders>
          </w:tcPr>
          <w:p w14:paraId="440ED915" w14:textId="30731F37" w:rsidR="0024085F" w:rsidRPr="00C14128" w:rsidRDefault="00B34FDD" w:rsidP="00D93332">
            <w:pPr>
              <w:pStyle w:val="TableParagraph"/>
              <w:ind w:right="218"/>
              <w:rPr>
                <w:sz w:val="24"/>
                <w:szCs w:val="24"/>
                <w:lang w:val="cs-CZ"/>
              </w:rPr>
            </w:pPr>
            <w:r w:rsidRPr="00D93332">
              <w:rPr>
                <w:sz w:val="24"/>
                <w:szCs w:val="24"/>
                <w:lang w:val="cs-CZ"/>
              </w:rPr>
              <w:t>Nesoulad se stanovenými postupy pro elektronické nebo souhrnné zadávání veřejných zakázek</w:t>
            </w:r>
          </w:p>
        </w:tc>
        <w:tc>
          <w:tcPr>
            <w:tcW w:w="0" w:type="auto"/>
            <w:vMerge w:val="restart"/>
            <w:tcBorders>
              <w:top w:val="single" w:sz="4" w:space="0" w:color="auto"/>
            </w:tcBorders>
          </w:tcPr>
          <w:p w14:paraId="08AACB08" w14:textId="3305F7FF" w:rsidR="0024085F" w:rsidRPr="00C14128" w:rsidRDefault="00B34FDD" w:rsidP="00D93332">
            <w:pPr>
              <w:pStyle w:val="TableParagraph"/>
              <w:ind w:right="218"/>
              <w:rPr>
                <w:sz w:val="24"/>
                <w:szCs w:val="24"/>
                <w:lang w:val="cs-CZ"/>
              </w:rPr>
            </w:pPr>
            <w:r w:rsidRPr="00D93332">
              <w:rPr>
                <w:sz w:val="24"/>
                <w:szCs w:val="24"/>
                <w:lang w:val="cs-CZ"/>
              </w:rPr>
              <w:t>Nedodržení stanovených postupů pro elektronické nebo souhrnné zadávání veřejných zakázek (tj. rámcové dohody, dynamické nákupní systémy, elektronické aukce, elektronické katalogy, centralizované zadávání, společné zadávání a postupy centrálních zadavatelů).</w:t>
            </w:r>
          </w:p>
        </w:tc>
        <w:tc>
          <w:tcPr>
            <w:tcW w:w="0" w:type="auto"/>
            <w:tcBorders>
              <w:top w:val="single" w:sz="4" w:space="0" w:color="auto"/>
            </w:tcBorders>
          </w:tcPr>
          <w:p w14:paraId="1B3BA190" w14:textId="1EF88034" w:rsidR="0024085F" w:rsidRPr="00C14128" w:rsidRDefault="00B34FDD" w:rsidP="00D93332">
            <w:pPr>
              <w:pStyle w:val="TableParagraph"/>
              <w:ind w:right="218"/>
              <w:rPr>
                <w:sz w:val="24"/>
                <w:szCs w:val="24"/>
                <w:lang w:val="cs-CZ"/>
              </w:rPr>
            </w:pPr>
            <w:r w:rsidRPr="00D93332">
              <w:rPr>
                <w:sz w:val="24"/>
                <w:szCs w:val="24"/>
                <w:lang w:val="cs-CZ"/>
              </w:rPr>
              <w:t>10 %, pokud nedodržení mohlo mít za následek odrazení potenciálních dodavatelů od účasti ve výběrovém/zadávacím řízení</w:t>
            </w:r>
          </w:p>
        </w:tc>
      </w:tr>
      <w:tr w:rsidR="00B34FDD" w:rsidRPr="00D93332" w14:paraId="106733F4" w14:textId="77777777" w:rsidTr="00D53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2"/>
        </w:trPr>
        <w:tc>
          <w:tcPr>
            <w:tcW w:w="0" w:type="auto"/>
            <w:vMerge/>
          </w:tcPr>
          <w:p w14:paraId="6D6998CD" w14:textId="1C1A01E1" w:rsidR="00B34FDD" w:rsidRPr="00D93332" w:rsidRDefault="00B34FDD" w:rsidP="00D93332">
            <w:pPr>
              <w:pStyle w:val="TableParagraph"/>
              <w:ind w:right="218"/>
              <w:rPr>
                <w:sz w:val="24"/>
                <w:szCs w:val="24"/>
                <w:lang w:val="cs-CZ"/>
              </w:rPr>
            </w:pPr>
          </w:p>
        </w:tc>
        <w:tc>
          <w:tcPr>
            <w:tcW w:w="0" w:type="auto"/>
            <w:vMerge/>
          </w:tcPr>
          <w:p w14:paraId="30D15809" w14:textId="23A5B3AF" w:rsidR="00B34FDD" w:rsidRPr="00D93332" w:rsidRDefault="00B34FDD" w:rsidP="00D93332">
            <w:pPr>
              <w:pStyle w:val="TableParagraph"/>
              <w:ind w:right="218"/>
              <w:rPr>
                <w:sz w:val="24"/>
                <w:szCs w:val="24"/>
                <w:lang w:val="cs-CZ"/>
              </w:rPr>
            </w:pPr>
          </w:p>
        </w:tc>
        <w:tc>
          <w:tcPr>
            <w:tcW w:w="0" w:type="auto"/>
            <w:vMerge/>
          </w:tcPr>
          <w:p w14:paraId="53255104" w14:textId="78E77081" w:rsidR="00B34FDD" w:rsidRPr="00D93332" w:rsidRDefault="00B34FDD" w:rsidP="00D93332">
            <w:pPr>
              <w:pStyle w:val="TableParagraph"/>
              <w:ind w:right="218"/>
              <w:rPr>
                <w:sz w:val="24"/>
                <w:szCs w:val="24"/>
                <w:lang w:val="cs-CZ"/>
              </w:rPr>
            </w:pPr>
          </w:p>
        </w:tc>
        <w:tc>
          <w:tcPr>
            <w:tcW w:w="0" w:type="auto"/>
          </w:tcPr>
          <w:p w14:paraId="245EC179" w14:textId="23B29C50" w:rsidR="00B34FDD" w:rsidRPr="00C14128" w:rsidRDefault="00B34FDD" w:rsidP="00D93332">
            <w:pPr>
              <w:pStyle w:val="TableParagraph"/>
              <w:ind w:right="218"/>
              <w:rPr>
                <w:sz w:val="24"/>
                <w:szCs w:val="24"/>
                <w:lang w:val="cs-CZ"/>
              </w:rPr>
            </w:pPr>
            <w:r w:rsidRPr="00D93332">
              <w:rPr>
                <w:sz w:val="24"/>
                <w:szCs w:val="24"/>
                <w:lang w:val="cs-CZ"/>
              </w:rPr>
              <w:t>25 %, pokud následkem tohoto porušení bylo přidělení veřejné zakázky jinému účastníkovi, než který by zvítězil, pokud by se zadavatel pochybení nedopustil</w:t>
            </w:r>
          </w:p>
        </w:tc>
      </w:tr>
    </w:tbl>
    <w:p w14:paraId="463F29E8" w14:textId="77777777" w:rsidR="0094139E" w:rsidRPr="00D93332" w:rsidRDefault="0094139E" w:rsidP="0000617B">
      <w:pPr>
        <w:pStyle w:val="TableParagraph"/>
        <w:ind w:left="0" w:right="218"/>
        <w:rPr>
          <w:sz w:val="24"/>
          <w:szCs w:val="24"/>
        </w:rPr>
        <w:sectPr w:rsidR="0094139E" w:rsidRPr="00D93332" w:rsidSect="00D53428">
          <w:headerReference w:type="even" r:id="rId11"/>
          <w:headerReference w:type="default" r:id="rId12"/>
          <w:footerReference w:type="even" r:id="rId13"/>
          <w:footerReference w:type="default" r:id="rId14"/>
          <w:headerReference w:type="first" r:id="rId15"/>
          <w:footerReference w:type="first" r:id="rId16"/>
          <w:pgSz w:w="11910" w:h="16840" w:code="9"/>
          <w:pgMar w:top="1814" w:right="879" w:bottom="1162" w:left="1202" w:header="709" w:footer="970" w:gutter="0"/>
          <w:cols w:space="708"/>
        </w:sectPr>
      </w:pPr>
    </w:p>
    <w:tbl>
      <w:tblPr>
        <w:tblStyle w:val="NormalTable0"/>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2552"/>
        <w:gridCol w:w="3318"/>
        <w:gridCol w:w="3061"/>
      </w:tblGrid>
      <w:tr w:rsidR="00B34FDD" w:rsidRPr="00D93332" w14:paraId="1A119F2C" w14:textId="77777777" w:rsidTr="003336C4">
        <w:trPr>
          <w:trHeight w:val="70"/>
        </w:trPr>
        <w:tc>
          <w:tcPr>
            <w:tcW w:w="674" w:type="dxa"/>
            <w:vMerge w:val="restart"/>
          </w:tcPr>
          <w:p w14:paraId="0DB3C325" w14:textId="77777777" w:rsidR="00B34FDD" w:rsidRPr="00D93332" w:rsidRDefault="00B34FDD" w:rsidP="00D93332">
            <w:pPr>
              <w:pStyle w:val="TableParagraph"/>
              <w:ind w:right="218"/>
              <w:rPr>
                <w:sz w:val="24"/>
                <w:szCs w:val="24"/>
                <w:lang w:val="cs-CZ"/>
              </w:rPr>
            </w:pPr>
          </w:p>
          <w:p w14:paraId="44521265" w14:textId="24DAE00D" w:rsidR="00B34FDD" w:rsidRPr="00D93332" w:rsidRDefault="00B34FDD" w:rsidP="00D93332">
            <w:pPr>
              <w:pStyle w:val="TableParagraph"/>
              <w:ind w:right="218"/>
              <w:rPr>
                <w:sz w:val="24"/>
                <w:szCs w:val="24"/>
                <w:lang w:val="cs-CZ"/>
              </w:rPr>
            </w:pPr>
            <w:r w:rsidRPr="725F14BC">
              <w:rPr>
                <w:sz w:val="24"/>
                <w:szCs w:val="24"/>
                <w:lang w:val="cs-CZ"/>
              </w:rPr>
              <w:t>1</w:t>
            </w:r>
            <w:r w:rsidR="00FA4527">
              <w:rPr>
                <w:sz w:val="24"/>
                <w:szCs w:val="24"/>
                <w:lang w:val="cs-CZ"/>
              </w:rPr>
              <w:t>5</w:t>
            </w:r>
            <w:r w:rsidRPr="725F14BC">
              <w:rPr>
                <w:sz w:val="24"/>
                <w:szCs w:val="24"/>
                <w:lang w:val="cs-CZ"/>
              </w:rPr>
              <w:t>.</w:t>
            </w:r>
          </w:p>
        </w:tc>
        <w:tc>
          <w:tcPr>
            <w:tcW w:w="2552" w:type="dxa"/>
            <w:vMerge w:val="restart"/>
          </w:tcPr>
          <w:p w14:paraId="469587A9" w14:textId="4B5D51DE" w:rsidR="00B34FDD" w:rsidRPr="00C14128" w:rsidRDefault="00FA4527" w:rsidP="00D93332">
            <w:pPr>
              <w:pStyle w:val="TableParagraph"/>
              <w:ind w:right="218"/>
              <w:rPr>
                <w:sz w:val="24"/>
                <w:szCs w:val="24"/>
                <w:lang w:val="cs-CZ"/>
              </w:rPr>
            </w:pPr>
            <w:r w:rsidRPr="00D93332">
              <w:rPr>
                <w:sz w:val="24"/>
                <w:szCs w:val="24"/>
                <w:lang w:val="cs-CZ"/>
              </w:rPr>
              <w:t>Neoprávněné omezení poddodávek</w:t>
            </w:r>
          </w:p>
        </w:tc>
        <w:tc>
          <w:tcPr>
            <w:tcW w:w="3318" w:type="dxa"/>
            <w:vMerge w:val="restart"/>
          </w:tcPr>
          <w:p w14:paraId="2B668AF6" w14:textId="5FF89267" w:rsidR="00B34FDD" w:rsidRPr="00C14128" w:rsidRDefault="00FA4527" w:rsidP="00D93332">
            <w:pPr>
              <w:pStyle w:val="TableParagraph"/>
              <w:ind w:right="218"/>
              <w:rPr>
                <w:sz w:val="24"/>
                <w:szCs w:val="24"/>
                <w:lang w:val="cs-CZ"/>
              </w:rPr>
            </w:pPr>
            <w:r w:rsidRPr="00D93332">
              <w:rPr>
                <w:sz w:val="24"/>
                <w:szCs w:val="24"/>
                <w:lang w:val="cs-CZ"/>
              </w:rPr>
              <w:t>Zadavatel omezil možnost využití poddodavatelů při realizaci veřejné zakázky např. procentuálně, a to bez relevantního odůvodnění tohoto omezení s ohledem na klíčové části veřejné zakázky.</w:t>
            </w:r>
          </w:p>
        </w:tc>
        <w:tc>
          <w:tcPr>
            <w:tcW w:w="3061" w:type="dxa"/>
          </w:tcPr>
          <w:p w14:paraId="17EDD503" w14:textId="79C2B326" w:rsidR="00B34FDD" w:rsidRPr="00262A26" w:rsidRDefault="00B34FDD" w:rsidP="00D93332">
            <w:pPr>
              <w:pStyle w:val="TableParagraph"/>
              <w:ind w:right="218"/>
              <w:rPr>
                <w:sz w:val="24"/>
                <w:szCs w:val="24"/>
                <w:lang w:val="cs-CZ"/>
              </w:rPr>
            </w:pPr>
          </w:p>
        </w:tc>
      </w:tr>
      <w:tr w:rsidR="00B34FDD" w:rsidRPr="00D93332" w14:paraId="628C8622" w14:textId="77777777" w:rsidTr="0000617B">
        <w:trPr>
          <w:trHeight w:val="1929"/>
        </w:trPr>
        <w:tc>
          <w:tcPr>
            <w:tcW w:w="674" w:type="dxa"/>
            <w:vMerge/>
          </w:tcPr>
          <w:p w14:paraId="31140E9C" w14:textId="77777777" w:rsidR="00B34FDD" w:rsidRPr="00D93332" w:rsidRDefault="00B34FDD" w:rsidP="00D93332">
            <w:pPr>
              <w:pStyle w:val="TableParagraph"/>
              <w:ind w:right="218"/>
              <w:rPr>
                <w:sz w:val="24"/>
                <w:szCs w:val="24"/>
                <w:lang w:val="cs-CZ"/>
              </w:rPr>
            </w:pPr>
          </w:p>
        </w:tc>
        <w:tc>
          <w:tcPr>
            <w:tcW w:w="2552" w:type="dxa"/>
            <w:vMerge/>
          </w:tcPr>
          <w:p w14:paraId="69815647" w14:textId="77777777" w:rsidR="00B34FDD" w:rsidRPr="00D93332" w:rsidRDefault="00B34FDD" w:rsidP="00D93332">
            <w:pPr>
              <w:pStyle w:val="TableParagraph"/>
              <w:ind w:right="218"/>
              <w:rPr>
                <w:sz w:val="24"/>
                <w:szCs w:val="24"/>
                <w:lang w:val="cs-CZ"/>
              </w:rPr>
            </w:pPr>
          </w:p>
        </w:tc>
        <w:tc>
          <w:tcPr>
            <w:tcW w:w="3318" w:type="dxa"/>
            <w:vMerge/>
          </w:tcPr>
          <w:p w14:paraId="21D7D94E" w14:textId="77777777" w:rsidR="00B34FDD" w:rsidRPr="00D93332" w:rsidRDefault="00B34FDD" w:rsidP="00D93332">
            <w:pPr>
              <w:pStyle w:val="TableParagraph"/>
              <w:ind w:right="218"/>
              <w:rPr>
                <w:sz w:val="24"/>
                <w:szCs w:val="24"/>
                <w:lang w:val="cs-CZ"/>
              </w:rPr>
            </w:pPr>
          </w:p>
        </w:tc>
        <w:tc>
          <w:tcPr>
            <w:tcW w:w="3061" w:type="dxa"/>
          </w:tcPr>
          <w:p w14:paraId="70B8544F" w14:textId="244DF599" w:rsidR="00FA4527" w:rsidRPr="00C14128" w:rsidRDefault="00B34FDD" w:rsidP="00D93332">
            <w:pPr>
              <w:pStyle w:val="TableParagraph"/>
              <w:ind w:right="218"/>
              <w:rPr>
                <w:sz w:val="24"/>
                <w:szCs w:val="24"/>
                <w:lang w:val="cs-CZ"/>
              </w:rPr>
            </w:pPr>
            <w:r w:rsidRPr="00D93332">
              <w:rPr>
                <w:sz w:val="24"/>
                <w:szCs w:val="24"/>
                <w:lang w:val="cs-CZ"/>
              </w:rPr>
              <w:t xml:space="preserve">5 % </w:t>
            </w:r>
          </w:p>
          <w:p w14:paraId="6A8745C5" w14:textId="017E4F6E" w:rsidR="00B34FDD" w:rsidRPr="00D93332" w:rsidRDefault="00B34FDD" w:rsidP="00D93332">
            <w:pPr>
              <w:pStyle w:val="TableParagraph"/>
              <w:ind w:right="218"/>
              <w:rPr>
                <w:sz w:val="24"/>
                <w:szCs w:val="24"/>
                <w:lang w:val="cs-CZ"/>
              </w:rPr>
            </w:pPr>
          </w:p>
        </w:tc>
      </w:tr>
      <w:tr w:rsidR="00FA4527" w:rsidRPr="00D93332" w14:paraId="173009B9" w14:textId="77777777" w:rsidTr="0000617B">
        <w:trPr>
          <w:trHeight w:val="1757"/>
        </w:trPr>
        <w:tc>
          <w:tcPr>
            <w:tcW w:w="674" w:type="dxa"/>
          </w:tcPr>
          <w:p w14:paraId="7B213BFE" w14:textId="77777777" w:rsidR="00FA4527" w:rsidRPr="00D93332" w:rsidRDefault="00FA4527" w:rsidP="00D93332">
            <w:pPr>
              <w:pStyle w:val="TableParagraph"/>
              <w:ind w:right="218"/>
              <w:rPr>
                <w:sz w:val="24"/>
                <w:szCs w:val="24"/>
                <w:lang w:val="cs-CZ"/>
              </w:rPr>
            </w:pPr>
          </w:p>
          <w:p w14:paraId="3F937369" w14:textId="37BD0393" w:rsidR="00FA4527" w:rsidRPr="00D93332" w:rsidRDefault="00FA4527" w:rsidP="00D93332">
            <w:pPr>
              <w:pStyle w:val="TableParagraph"/>
              <w:ind w:right="218"/>
              <w:rPr>
                <w:sz w:val="24"/>
                <w:szCs w:val="24"/>
                <w:lang w:val="cs-CZ"/>
              </w:rPr>
            </w:pPr>
            <w:r w:rsidRPr="725F14BC">
              <w:rPr>
                <w:sz w:val="24"/>
                <w:szCs w:val="24"/>
                <w:lang w:val="cs-CZ"/>
              </w:rPr>
              <w:t>1</w:t>
            </w:r>
            <w:r>
              <w:rPr>
                <w:sz w:val="24"/>
                <w:szCs w:val="24"/>
                <w:lang w:val="cs-CZ"/>
              </w:rPr>
              <w:t>6</w:t>
            </w:r>
            <w:r w:rsidRPr="725F14BC">
              <w:rPr>
                <w:sz w:val="24"/>
                <w:szCs w:val="24"/>
                <w:lang w:val="cs-CZ"/>
              </w:rPr>
              <w:t>.</w:t>
            </w:r>
          </w:p>
        </w:tc>
        <w:tc>
          <w:tcPr>
            <w:tcW w:w="2552" w:type="dxa"/>
          </w:tcPr>
          <w:p w14:paraId="16BF67C7" w14:textId="1E6F29DA" w:rsidR="00FA4527" w:rsidRPr="00C14128" w:rsidRDefault="00FA4527" w:rsidP="00D93332">
            <w:pPr>
              <w:pStyle w:val="TableParagraph"/>
              <w:ind w:right="218"/>
              <w:rPr>
                <w:sz w:val="24"/>
                <w:szCs w:val="24"/>
                <w:lang w:val="cs-CZ"/>
              </w:rPr>
            </w:pPr>
            <w:r w:rsidRPr="00D93332">
              <w:rPr>
                <w:sz w:val="24"/>
                <w:szCs w:val="24"/>
                <w:lang w:val="cs-CZ"/>
              </w:rPr>
              <w:t>Změna počátečních zadávacích podmínek v rámci jednacího řízení s uveřejněním vedoucí k podstatné změně zadávacích podmínek</w:t>
            </w:r>
          </w:p>
        </w:tc>
        <w:tc>
          <w:tcPr>
            <w:tcW w:w="3318" w:type="dxa"/>
          </w:tcPr>
          <w:p w14:paraId="47FCEE98" w14:textId="7FBCFB31" w:rsidR="00FA4527" w:rsidRPr="00C14128" w:rsidRDefault="00FA4527" w:rsidP="00D93332">
            <w:pPr>
              <w:pStyle w:val="TableParagraph"/>
              <w:ind w:right="218"/>
              <w:rPr>
                <w:sz w:val="24"/>
                <w:szCs w:val="24"/>
                <w:lang w:val="cs-CZ"/>
              </w:rPr>
            </w:pPr>
            <w:r w:rsidRPr="00D93332">
              <w:rPr>
                <w:sz w:val="24"/>
                <w:szCs w:val="24"/>
                <w:lang w:val="cs-CZ"/>
              </w:rPr>
              <w:t>V průběhu jednacího řízení s uveřejněním došlo k podstatným změnám původních zadávacích podmínek, které by měly za následek povinnost nového uveřejnění řízení.</w:t>
            </w:r>
          </w:p>
        </w:tc>
        <w:tc>
          <w:tcPr>
            <w:tcW w:w="3061" w:type="dxa"/>
          </w:tcPr>
          <w:p w14:paraId="4D5A2AFD" w14:textId="60083084" w:rsidR="00FA4527" w:rsidRPr="00C14128" w:rsidRDefault="00FA4527" w:rsidP="00D93332">
            <w:pPr>
              <w:pStyle w:val="TableParagraph"/>
              <w:ind w:right="218"/>
              <w:rPr>
                <w:sz w:val="24"/>
                <w:szCs w:val="24"/>
                <w:lang w:val="cs-CZ"/>
              </w:rPr>
            </w:pPr>
            <w:r w:rsidRPr="00D93332">
              <w:rPr>
                <w:sz w:val="24"/>
                <w:szCs w:val="24"/>
                <w:lang w:val="cs-CZ"/>
              </w:rPr>
              <w:t>25 %</w:t>
            </w:r>
          </w:p>
        </w:tc>
      </w:tr>
      <w:tr w:rsidR="00FA4527" w:rsidRPr="00D93332" w14:paraId="0CE94F00" w14:textId="77777777" w:rsidTr="0000617B">
        <w:trPr>
          <w:trHeight w:val="878"/>
        </w:trPr>
        <w:tc>
          <w:tcPr>
            <w:tcW w:w="674" w:type="dxa"/>
            <w:vMerge w:val="restart"/>
          </w:tcPr>
          <w:p w14:paraId="59D45095" w14:textId="77777777" w:rsidR="00FA4527" w:rsidRPr="00D93332" w:rsidRDefault="00FA4527" w:rsidP="00D93332">
            <w:pPr>
              <w:pStyle w:val="TableParagraph"/>
              <w:ind w:right="218"/>
              <w:rPr>
                <w:sz w:val="24"/>
                <w:szCs w:val="24"/>
                <w:lang w:val="cs-CZ"/>
              </w:rPr>
            </w:pPr>
          </w:p>
          <w:p w14:paraId="41244353" w14:textId="60336421" w:rsidR="00FA4527" w:rsidRPr="00D93332" w:rsidRDefault="00FA4527" w:rsidP="00D93332">
            <w:pPr>
              <w:pStyle w:val="TableParagraph"/>
              <w:ind w:right="218"/>
              <w:rPr>
                <w:sz w:val="24"/>
                <w:szCs w:val="24"/>
                <w:lang w:val="cs-CZ"/>
              </w:rPr>
            </w:pPr>
            <w:r w:rsidRPr="725F14BC">
              <w:rPr>
                <w:sz w:val="24"/>
                <w:szCs w:val="24"/>
                <w:lang w:val="cs-CZ"/>
              </w:rPr>
              <w:t>1</w:t>
            </w:r>
            <w:r w:rsidR="00C5083D">
              <w:rPr>
                <w:sz w:val="24"/>
                <w:szCs w:val="24"/>
                <w:lang w:val="cs-CZ"/>
              </w:rPr>
              <w:t>7</w:t>
            </w:r>
            <w:r w:rsidRPr="725F14BC">
              <w:rPr>
                <w:sz w:val="24"/>
                <w:szCs w:val="24"/>
                <w:lang w:val="cs-CZ"/>
              </w:rPr>
              <w:t>.</w:t>
            </w:r>
          </w:p>
        </w:tc>
        <w:tc>
          <w:tcPr>
            <w:tcW w:w="2552" w:type="dxa"/>
            <w:vMerge w:val="restart"/>
          </w:tcPr>
          <w:p w14:paraId="02A7CCE4" w14:textId="64F84ABF" w:rsidR="00FA4527" w:rsidRPr="00C14128" w:rsidRDefault="00FA4527" w:rsidP="00D93332">
            <w:pPr>
              <w:pStyle w:val="TableParagraph"/>
              <w:ind w:right="218"/>
              <w:rPr>
                <w:sz w:val="24"/>
                <w:szCs w:val="24"/>
                <w:lang w:val="cs-CZ"/>
              </w:rPr>
            </w:pPr>
            <w:r w:rsidRPr="00D93332">
              <w:rPr>
                <w:sz w:val="24"/>
                <w:szCs w:val="24"/>
                <w:lang w:val="cs-CZ"/>
              </w:rPr>
              <w:t>Bid-rigging (zakázaná spolupráce dodavatelů ve výběrovém/zadávacím řízení)</w:t>
            </w:r>
          </w:p>
        </w:tc>
        <w:tc>
          <w:tcPr>
            <w:tcW w:w="3318" w:type="dxa"/>
            <w:vMerge w:val="restart"/>
          </w:tcPr>
          <w:p w14:paraId="1BDB8F19" w14:textId="43217788" w:rsidR="00FA4527" w:rsidRPr="00C14128" w:rsidRDefault="00FA4527" w:rsidP="00D93332">
            <w:pPr>
              <w:pStyle w:val="TableParagraph"/>
              <w:ind w:right="218"/>
              <w:rPr>
                <w:sz w:val="24"/>
                <w:szCs w:val="24"/>
                <w:lang w:val="cs-CZ"/>
              </w:rPr>
            </w:pPr>
            <w:r w:rsidRPr="00D93332">
              <w:rPr>
                <w:sz w:val="24"/>
                <w:szCs w:val="24"/>
                <w:lang w:val="cs-CZ"/>
              </w:rPr>
              <w:t>V případě, že soud, Úřad pro ochranu hospodářské soutěže či jiný kompetentní úřad shledá, že při zadávání výběrového/zadávacího řízení došlo ke kartelové dohodě či jiné formě zakázané spolupráce mezi dodavateli.</w:t>
            </w:r>
          </w:p>
        </w:tc>
        <w:tc>
          <w:tcPr>
            <w:tcW w:w="3061" w:type="dxa"/>
          </w:tcPr>
          <w:p w14:paraId="510D790A" w14:textId="0F542D11" w:rsidR="00FA4527" w:rsidRPr="00C14128" w:rsidRDefault="00FA4527" w:rsidP="00D93332">
            <w:pPr>
              <w:pStyle w:val="TableParagraph"/>
              <w:ind w:right="218"/>
              <w:rPr>
                <w:sz w:val="24"/>
                <w:szCs w:val="24"/>
                <w:lang w:val="cs-CZ"/>
              </w:rPr>
            </w:pPr>
            <w:r w:rsidRPr="00D93332">
              <w:rPr>
                <w:sz w:val="24"/>
                <w:szCs w:val="24"/>
                <w:lang w:val="cs-CZ"/>
              </w:rPr>
              <w:t>10 %, pokud účastníci, kteří se na bid-riggingu podíleli, postupovali bez pomoci osoby v rámci řídícího či kontrolního systému nebo zadavatele a jeden z nich se stal vybraným dodavatelem</w:t>
            </w:r>
          </w:p>
        </w:tc>
      </w:tr>
      <w:tr w:rsidR="00FA4527" w:rsidRPr="00D93332" w14:paraId="2D1C8D49" w14:textId="77777777" w:rsidTr="0000617B">
        <w:trPr>
          <w:trHeight w:val="877"/>
        </w:trPr>
        <w:tc>
          <w:tcPr>
            <w:tcW w:w="674" w:type="dxa"/>
            <w:vMerge/>
          </w:tcPr>
          <w:p w14:paraId="1D5CDB27" w14:textId="77777777" w:rsidR="00FA4527" w:rsidRPr="00D93332" w:rsidRDefault="00FA4527" w:rsidP="00D93332">
            <w:pPr>
              <w:pStyle w:val="TableParagraph"/>
              <w:ind w:right="218"/>
              <w:rPr>
                <w:sz w:val="24"/>
                <w:szCs w:val="24"/>
                <w:lang w:val="cs-CZ"/>
              </w:rPr>
            </w:pPr>
          </w:p>
        </w:tc>
        <w:tc>
          <w:tcPr>
            <w:tcW w:w="2552" w:type="dxa"/>
            <w:vMerge/>
          </w:tcPr>
          <w:p w14:paraId="0E501C4C" w14:textId="77777777" w:rsidR="00FA4527" w:rsidRPr="00D93332" w:rsidRDefault="00FA4527" w:rsidP="00D93332">
            <w:pPr>
              <w:pStyle w:val="TableParagraph"/>
              <w:ind w:right="218"/>
              <w:rPr>
                <w:sz w:val="24"/>
                <w:szCs w:val="24"/>
                <w:lang w:val="cs-CZ"/>
              </w:rPr>
            </w:pPr>
          </w:p>
        </w:tc>
        <w:tc>
          <w:tcPr>
            <w:tcW w:w="3318" w:type="dxa"/>
            <w:vMerge/>
          </w:tcPr>
          <w:p w14:paraId="325A3AC5" w14:textId="77777777" w:rsidR="00FA4527" w:rsidRPr="00D93332" w:rsidRDefault="00FA4527" w:rsidP="00D93332">
            <w:pPr>
              <w:pStyle w:val="TableParagraph"/>
              <w:ind w:right="218"/>
              <w:rPr>
                <w:sz w:val="24"/>
                <w:szCs w:val="24"/>
                <w:lang w:val="cs-CZ"/>
              </w:rPr>
            </w:pPr>
          </w:p>
        </w:tc>
        <w:tc>
          <w:tcPr>
            <w:tcW w:w="3061" w:type="dxa"/>
          </w:tcPr>
          <w:p w14:paraId="4A8D6305" w14:textId="3A225AB1" w:rsidR="00FA4527" w:rsidRPr="00C14128" w:rsidRDefault="00FA4527" w:rsidP="00D93332">
            <w:pPr>
              <w:pStyle w:val="TableParagraph"/>
              <w:ind w:right="218"/>
              <w:rPr>
                <w:sz w:val="24"/>
                <w:szCs w:val="24"/>
                <w:lang w:val="cs-CZ"/>
              </w:rPr>
            </w:pPr>
            <w:r w:rsidRPr="00D93332">
              <w:rPr>
                <w:sz w:val="24"/>
                <w:szCs w:val="24"/>
                <w:lang w:val="cs-CZ"/>
              </w:rPr>
              <w:t>25 %, pokud se zadávacího řízení neúčastnili jiní dodavatelé než ti, kteří se podíleli na bid-riggingu</w:t>
            </w:r>
          </w:p>
        </w:tc>
      </w:tr>
      <w:tr w:rsidR="00FA4527" w:rsidRPr="00D93332" w14:paraId="0CCC4326" w14:textId="77777777" w:rsidTr="0000617B">
        <w:trPr>
          <w:trHeight w:val="2924"/>
        </w:trPr>
        <w:tc>
          <w:tcPr>
            <w:tcW w:w="674" w:type="dxa"/>
            <w:vMerge/>
          </w:tcPr>
          <w:p w14:paraId="6D8868B9" w14:textId="77777777" w:rsidR="00FA4527" w:rsidRPr="00D93332" w:rsidRDefault="00FA4527" w:rsidP="00D93332">
            <w:pPr>
              <w:pStyle w:val="TableParagraph"/>
              <w:ind w:right="218"/>
              <w:rPr>
                <w:sz w:val="24"/>
                <w:szCs w:val="24"/>
                <w:lang w:val="cs-CZ"/>
              </w:rPr>
            </w:pPr>
          </w:p>
        </w:tc>
        <w:tc>
          <w:tcPr>
            <w:tcW w:w="2552" w:type="dxa"/>
            <w:vMerge/>
          </w:tcPr>
          <w:p w14:paraId="2526641D" w14:textId="77777777" w:rsidR="00FA4527" w:rsidRPr="00D93332" w:rsidRDefault="00FA4527" w:rsidP="00D93332">
            <w:pPr>
              <w:pStyle w:val="TableParagraph"/>
              <w:ind w:right="218"/>
              <w:rPr>
                <w:sz w:val="24"/>
                <w:szCs w:val="24"/>
                <w:lang w:val="cs-CZ"/>
              </w:rPr>
            </w:pPr>
          </w:p>
        </w:tc>
        <w:tc>
          <w:tcPr>
            <w:tcW w:w="3318" w:type="dxa"/>
            <w:vMerge/>
          </w:tcPr>
          <w:p w14:paraId="4CDB7D62" w14:textId="77777777" w:rsidR="00FA4527" w:rsidRPr="00D93332" w:rsidRDefault="00FA4527" w:rsidP="00D93332">
            <w:pPr>
              <w:pStyle w:val="TableParagraph"/>
              <w:ind w:right="218"/>
              <w:rPr>
                <w:sz w:val="24"/>
                <w:szCs w:val="24"/>
                <w:lang w:val="cs-CZ"/>
              </w:rPr>
            </w:pPr>
          </w:p>
        </w:tc>
        <w:tc>
          <w:tcPr>
            <w:tcW w:w="3061" w:type="dxa"/>
          </w:tcPr>
          <w:p w14:paraId="31044B5F" w14:textId="6ADAB78C" w:rsidR="00FA4527" w:rsidRPr="00C14128" w:rsidRDefault="00FA4527" w:rsidP="00D93332">
            <w:pPr>
              <w:pStyle w:val="TableParagraph"/>
              <w:ind w:right="218"/>
              <w:rPr>
                <w:sz w:val="24"/>
                <w:szCs w:val="24"/>
                <w:lang w:val="cs-CZ"/>
              </w:rPr>
            </w:pPr>
            <w:r w:rsidRPr="00D93332">
              <w:rPr>
                <w:sz w:val="24"/>
                <w:szCs w:val="24"/>
                <w:lang w:val="cs-CZ"/>
              </w:rPr>
              <w:t>100 %, pokud se na bid-riggingu podílela osoba v rámci řídícího či kontrolního systému nebo zadavatel ve spolupráci s dodavateli podílejícími se na bid-riggingu a současně jeden z nich se stal vybraným dodavatelem</w:t>
            </w:r>
          </w:p>
        </w:tc>
      </w:tr>
    </w:tbl>
    <w:p w14:paraId="1338AECC" w14:textId="77777777" w:rsidR="00FA4527" w:rsidRDefault="00FA4527" w:rsidP="00FA4527">
      <w:pPr>
        <w:tabs>
          <w:tab w:val="left" w:pos="579"/>
        </w:tabs>
        <w:rPr>
          <w:rFonts w:asciiTheme="minorHAnsi" w:hAnsiTheme="minorHAnsi" w:cstheme="minorBidi"/>
          <w:color w:val="4F81BD" w:themeColor="accent1"/>
          <w:u w:val="single"/>
        </w:rPr>
      </w:pPr>
    </w:p>
    <w:p w14:paraId="7B229244" w14:textId="22536E7D" w:rsidR="00B34FDD" w:rsidRDefault="00B34FDD" w:rsidP="725F14BC">
      <w:pPr>
        <w:tabs>
          <w:tab w:val="left" w:pos="579"/>
        </w:tabs>
        <w:rPr>
          <w:rFonts w:asciiTheme="minorHAnsi" w:hAnsiTheme="minorHAnsi" w:cstheme="minorBidi"/>
          <w:color w:val="4F81BD" w:themeColor="accent1"/>
          <w:u w:val="single"/>
        </w:rPr>
      </w:pPr>
    </w:p>
    <w:p w14:paraId="75C2772A" w14:textId="4B461296" w:rsidR="00C5083D" w:rsidRDefault="00C5083D" w:rsidP="725F14BC">
      <w:pPr>
        <w:tabs>
          <w:tab w:val="left" w:pos="579"/>
        </w:tabs>
        <w:rPr>
          <w:rFonts w:asciiTheme="minorHAnsi" w:hAnsiTheme="minorHAnsi" w:cstheme="minorBidi"/>
          <w:color w:val="4F81BD" w:themeColor="accent1"/>
          <w:u w:val="single"/>
        </w:rPr>
      </w:pPr>
    </w:p>
    <w:p w14:paraId="5A43D291" w14:textId="08EDC4E1" w:rsidR="0000617B" w:rsidRDefault="0000617B" w:rsidP="725F14BC">
      <w:pPr>
        <w:tabs>
          <w:tab w:val="left" w:pos="579"/>
        </w:tabs>
        <w:rPr>
          <w:rFonts w:asciiTheme="minorHAnsi" w:hAnsiTheme="minorHAnsi" w:cstheme="minorBidi"/>
          <w:color w:val="4F81BD" w:themeColor="accent1"/>
          <w:u w:val="single"/>
        </w:rPr>
      </w:pPr>
    </w:p>
    <w:p w14:paraId="24A694BA" w14:textId="585C1CB9" w:rsidR="0000617B" w:rsidRDefault="0000617B" w:rsidP="725F14BC">
      <w:pPr>
        <w:tabs>
          <w:tab w:val="left" w:pos="579"/>
        </w:tabs>
        <w:rPr>
          <w:rFonts w:asciiTheme="minorHAnsi" w:hAnsiTheme="minorHAnsi" w:cstheme="minorBidi"/>
          <w:color w:val="4F81BD" w:themeColor="accent1"/>
          <w:u w:val="single"/>
        </w:rPr>
      </w:pPr>
    </w:p>
    <w:p w14:paraId="60C6C4BD" w14:textId="77777777" w:rsidR="0000617B" w:rsidRDefault="0000617B" w:rsidP="725F14BC">
      <w:pPr>
        <w:tabs>
          <w:tab w:val="left" w:pos="579"/>
        </w:tabs>
        <w:rPr>
          <w:rFonts w:asciiTheme="minorHAnsi" w:hAnsiTheme="minorHAnsi" w:cstheme="minorBidi"/>
          <w:color w:val="4F81BD" w:themeColor="accent1"/>
          <w:u w:val="single"/>
        </w:rPr>
      </w:pPr>
    </w:p>
    <w:p w14:paraId="3157FF14" w14:textId="5541F333" w:rsidR="00C5083D" w:rsidRDefault="00C5083D" w:rsidP="725F14BC">
      <w:pPr>
        <w:tabs>
          <w:tab w:val="left" w:pos="579"/>
        </w:tabs>
        <w:rPr>
          <w:rFonts w:asciiTheme="minorHAnsi" w:hAnsiTheme="minorHAnsi" w:cstheme="minorBidi"/>
          <w:color w:val="4F81BD" w:themeColor="accent1"/>
          <w:u w:val="single"/>
        </w:rPr>
      </w:pPr>
    </w:p>
    <w:p w14:paraId="5E1BD925" w14:textId="15FFDF09" w:rsidR="00C5083D" w:rsidRDefault="00C5083D" w:rsidP="725F14BC">
      <w:pPr>
        <w:tabs>
          <w:tab w:val="left" w:pos="579"/>
        </w:tabs>
        <w:rPr>
          <w:rFonts w:asciiTheme="minorHAnsi" w:hAnsiTheme="minorHAnsi" w:cstheme="minorBidi"/>
          <w:color w:val="4F81BD" w:themeColor="accent1"/>
          <w:u w:val="single"/>
        </w:rPr>
      </w:pPr>
    </w:p>
    <w:p w14:paraId="7EF9497F" w14:textId="2B46862E" w:rsidR="0094139E" w:rsidRPr="00C14128" w:rsidRDefault="725F14BC">
      <w:pPr>
        <w:tabs>
          <w:tab w:val="left" w:pos="579"/>
        </w:tabs>
        <w:rPr>
          <w:rFonts w:asciiTheme="minorHAnsi" w:hAnsiTheme="minorHAnsi" w:cstheme="minorBidi"/>
          <w:color w:val="4F81BD" w:themeColor="accent1"/>
          <w:u w:val="single"/>
        </w:rPr>
      </w:pPr>
      <w:r w:rsidRPr="369778C5">
        <w:rPr>
          <w:rFonts w:asciiTheme="minorHAnsi" w:hAnsiTheme="minorHAnsi" w:cstheme="minorBidi"/>
          <w:color w:val="4F81BD" w:themeColor="accent1"/>
          <w:u w:val="single"/>
        </w:rPr>
        <w:t xml:space="preserve">Výběr </w:t>
      </w:r>
      <w:r w:rsidR="00262A26" w:rsidRPr="369778C5">
        <w:rPr>
          <w:rFonts w:asciiTheme="minorHAnsi" w:hAnsiTheme="minorHAnsi" w:cstheme="minorBidi"/>
          <w:color w:val="4F81BD" w:themeColor="accent1"/>
          <w:u w:val="single"/>
        </w:rPr>
        <w:t xml:space="preserve">dodavatelů </w:t>
      </w:r>
      <w:r w:rsidRPr="369778C5">
        <w:rPr>
          <w:rFonts w:asciiTheme="minorHAnsi" w:hAnsiTheme="minorHAnsi" w:cstheme="minorBidi"/>
          <w:color w:val="4F81BD" w:themeColor="accent1"/>
          <w:u w:val="single"/>
        </w:rPr>
        <w:t>a hodnocení nabídek</w:t>
      </w:r>
    </w:p>
    <w:p w14:paraId="17AD93B2" w14:textId="77777777" w:rsidR="0094139E" w:rsidRDefault="0094139E" w:rsidP="0094139E">
      <w:pPr>
        <w:pStyle w:val="Zkladntext"/>
        <w:spacing w:after="1"/>
        <w:rPr>
          <w:b/>
        </w:rPr>
      </w:pPr>
    </w:p>
    <w:tbl>
      <w:tblPr>
        <w:tblStyle w:val="NormalTable0"/>
        <w:tblpPr w:leftFromText="141" w:rightFromText="141" w:vertAnchor="text" w:tblpX="-5"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552"/>
        <w:gridCol w:w="3260"/>
        <w:gridCol w:w="3118"/>
      </w:tblGrid>
      <w:tr w:rsidR="0094139E" w:rsidRPr="005D14B7" w14:paraId="1B2E940F" w14:textId="77777777" w:rsidTr="0000617B">
        <w:trPr>
          <w:trHeight w:val="293"/>
        </w:trPr>
        <w:tc>
          <w:tcPr>
            <w:tcW w:w="709" w:type="dxa"/>
          </w:tcPr>
          <w:p w14:paraId="425D3E93" w14:textId="77777777" w:rsidR="0094139E" w:rsidRPr="005D14B7" w:rsidRDefault="725F14BC" w:rsidP="0000617B">
            <w:pPr>
              <w:pStyle w:val="TableParagraph"/>
              <w:spacing w:line="273" w:lineRule="exact"/>
              <w:ind w:left="88" w:right="143"/>
              <w:jc w:val="center"/>
              <w:rPr>
                <w:b/>
                <w:bCs/>
                <w:sz w:val="24"/>
                <w:szCs w:val="24"/>
                <w:lang w:val="cs-CZ"/>
              </w:rPr>
            </w:pPr>
            <w:r w:rsidRPr="725F14BC">
              <w:rPr>
                <w:b/>
                <w:bCs/>
                <w:sz w:val="24"/>
                <w:szCs w:val="24"/>
                <w:lang w:val="cs-CZ"/>
              </w:rPr>
              <w:t>Bod</w:t>
            </w:r>
          </w:p>
        </w:tc>
        <w:tc>
          <w:tcPr>
            <w:tcW w:w="2552" w:type="dxa"/>
          </w:tcPr>
          <w:p w14:paraId="67AB612A" w14:textId="77777777" w:rsidR="0094139E" w:rsidRPr="005D14B7" w:rsidRDefault="725F14BC" w:rsidP="0000617B">
            <w:pPr>
              <w:pStyle w:val="TableParagraph"/>
              <w:spacing w:line="273" w:lineRule="exact"/>
              <w:rPr>
                <w:b/>
                <w:bCs/>
                <w:sz w:val="24"/>
                <w:szCs w:val="24"/>
                <w:lang w:val="cs-CZ"/>
              </w:rPr>
            </w:pPr>
            <w:r w:rsidRPr="725F14BC">
              <w:rPr>
                <w:b/>
                <w:bCs/>
                <w:sz w:val="24"/>
                <w:szCs w:val="24"/>
                <w:lang w:val="cs-CZ"/>
              </w:rPr>
              <w:t>Typ porušení</w:t>
            </w:r>
          </w:p>
        </w:tc>
        <w:tc>
          <w:tcPr>
            <w:tcW w:w="3260" w:type="dxa"/>
          </w:tcPr>
          <w:p w14:paraId="35D63056" w14:textId="77777777" w:rsidR="0094139E" w:rsidRPr="005D14B7" w:rsidRDefault="725F14BC" w:rsidP="0000617B">
            <w:pPr>
              <w:pStyle w:val="TableParagraph"/>
              <w:spacing w:line="273" w:lineRule="exact"/>
              <w:rPr>
                <w:b/>
                <w:bCs/>
                <w:sz w:val="24"/>
                <w:szCs w:val="24"/>
                <w:lang w:val="cs-CZ"/>
              </w:rPr>
            </w:pPr>
            <w:r w:rsidRPr="725F14BC">
              <w:rPr>
                <w:b/>
                <w:bCs/>
                <w:sz w:val="24"/>
                <w:szCs w:val="24"/>
                <w:lang w:val="cs-CZ"/>
              </w:rPr>
              <w:t>Popis pochybení</w:t>
            </w:r>
          </w:p>
        </w:tc>
        <w:tc>
          <w:tcPr>
            <w:tcW w:w="3118" w:type="dxa"/>
          </w:tcPr>
          <w:p w14:paraId="5B775EDE" w14:textId="77777777" w:rsidR="0094139E" w:rsidRPr="005D14B7" w:rsidRDefault="725F14BC" w:rsidP="0000617B">
            <w:pPr>
              <w:pStyle w:val="TableParagraph"/>
              <w:spacing w:line="273" w:lineRule="exact"/>
              <w:ind w:left="105"/>
              <w:rPr>
                <w:b/>
                <w:bCs/>
                <w:sz w:val="24"/>
                <w:szCs w:val="24"/>
                <w:lang w:val="cs-CZ"/>
              </w:rPr>
            </w:pPr>
            <w:r w:rsidRPr="725F14BC">
              <w:rPr>
                <w:b/>
                <w:bCs/>
                <w:sz w:val="24"/>
                <w:szCs w:val="24"/>
                <w:lang w:val="cs-CZ"/>
              </w:rPr>
              <w:t>Sazba sníženého odvodu</w:t>
            </w:r>
          </w:p>
        </w:tc>
      </w:tr>
      <w:tr w:rsidR="0094139E" w:rsidRPr="005D14B7" w14:paraId="0D8CD618" w14:textId="77777777" w:rsidTr="0000617B">
        <w:trPr>
          <w:trHeight w:val="412"/>
        </w:trPr>
        <w:tc>
          <w:tcPr>
            <w:tcW w:w="709" w:type="dxa"/>
            <w:vMerge w:val="restart"/>
          </w:tcPr>
          <w:p w14:paraId="64FED937" w14:textId="0F695125" w:rsidR="0094139E" w:rsidRPr="005D14B7" w:rsidRDefault="725F14BC" w:rsidP="0000617B">
            <w:pPr>
              <w:pStyle w:val="TableParagraph"/>
              <w:spacing w:line="292" w:lineRule="exact"/>
              <w:ind w:left="107"/>
              <w:rPr>
                <w:sz w:val="24"/>
                <w:szCs w:val="24"/>
                <w:lang w:val="cs-CZ"/>
              </w:rPr>
            </w:pPr>
            <w:r w:rsidRPr="725F14BC">
              <w:rPr>
                <w:sz w:val="24"/>
                <w:szCs w:val="24"/>
                <w:lang w:val="cs-CZ"/>
              </w:rPr>
              <w:t>1</w:t>
            </w:r>
            <w:r w:rsidR="00C5083D">
              <w:rPr>
                <w:sz w:val="24"/>
                <w:szCs w:val="24"/>
                <w:lang w:val="cs-CZ"/>
              </w:rPr>
              <w:t>8</w:t>
            </w:r>
            <w:r w:rsidRPr="725F14BC">
              <w:rPr>
                <w:sz w:val="24"/>
                <w:szCs w:val="24"/>
                <w:lang w:val="cs-CZ"/>
              </w:rPr>
              <w:t>.</w:t>
            </w:r>
          </w:p>
        </w:tc>
        <w:tc>
          <w:tcPr>
            <w:tcW w:w="2552" w:type="dxa"/>
            <w:vMerge w:val="restart"/>
          </w:tcPr>
          <w:p w14:paraId="2909E06D" w14:textId="63791E48" w:rsidR="0094139E" w:rsidRPr="005D14B7" w:rsidRDefault="725F14BC" w:rsidP="0000617B">
            <w:pPr>
              <w:pStyle w:val="TableParagraph"/>
              <w:ind w:right="168"/>
              <w:rPr>
                <w:sz w:val="24"/>
                <w:szCs w:val="24"/>
                <w:lang w:val="cs-CZ"/>
              </w:rPr>
            </w:pPr>
            <w:r w:rsidRPr="725F14BC">
              <w:rPr>
                <w:sz w:val="24"/>
                <w:szCs w:val="24"/>
                <w:lang w:val="cs-CZ"/>
              </w:rPr>
              <w:t xml:space="preserve">Upravení </w:t>
            </w:r>
            <w:r w:rsidR="00262A26" w:rsidRPr="725F14BC">
              <w:rPr>
                <w:sz w:val="24"/>
                <w:szCs w:val="24"/>
                <w:lang w:val="cs-CZ"/>
              </w:rPr>
              <w:t xml:space="preserve">kritérií </w:t>
            </w:r>
            <w:r w:rsidRPr="725F14BC">
              <w:rPr>
                <w:sz w:val="24"/>
                <w:szCs w:val="24"/>
                <w:lang w:val="cs-CZ"/>
              </w:rPr>
              <w:t>kvalifika</w:t>
            </w:r>
            <w:r w:rsidR="00262A26">
              <w:rPr>
                <w:sz w:val="24"/>
                <w:szCs w:val="24"/>
                <w:lang w:val="cs-CZ"/>
              </w:rPr>
              <w:t>ce</w:t>
            </w:r>
            <w:r w:rsidRPr="725F14BC">
              <w:rPr>
                <w:sz w:val="24"/>
                <w:szCs w:val="24"/>
                <w:lang w:val="cs-CZ"/>
              </w:rPr>
              <w:t xml:space="preserve"> nebo technických specifikací</w:t>
            </w:r>
          </w:p>
        </w:tc>
        <w:tc>
          <w:tcPr>
            <w:tcW w:w="3260" w:type="dxa"/>
            <w:vMerge w:val="restart"/>
          </w:tcPr>
          <w:p w14:paraId="312A20A7" w14:textId="572B8BE6" w:rsidR="0094139E" w:rsidRPr="005D14B7" w:rsidRDefault="725F14BC" w:rsidP="0000617B">
            <w:pPr>
              <w:pStyle w:val="TableParagraph"/>
              <w:ind w:right="218"/>
              <w:rPr>
                <w:sz w:val="24"/>
                <w:szCs w:val="24"/>
                <w:lang w:val="cs-CZ"/>
              </w:rPr>
            </w:pPr>
            <w:r w:rsidRPr="725F14BC">
              <w:rPr>
                <w:sz w:val="24"/>
                <w:szCs w:val="24"/>
                <w:lang w:val="cs-CZ"/>
              </w:rPr>
              <w:t xml:space="preserve">Zadavatel upravil </w:t>
            </w:r>
            <w:r w:rsidR="00262A26" w:rsidRPr="725F14BC">
              <w:rPr>
                <w:sz w:val="24"/>
                <w:szCs w:val="24"/>
                <w:lang w:val="cs-CZ"/>
              </w:rPr>
              <w:t xml:space="preserve">kritéria </w:t>
            </w:r>
            <w:r w:rsidRPr="725F14BC">
              <w:rPr>
                <w:sz w:val="24"/>
                <w:szCs w:val="24"/>
                <w:lang w:val="cs-CZ"/>
              </w:rPr>
              <w:t>kvalifika</w:t>
            </w:r>
            <w:r w:rsidR="00262A26">
              <w:rPr>
                <w:sz w:val="24"/>
                <w:szCs w:val="24"/>
                <w:lang w:val="cs-CZ"/>
              </w:rPr>
              <w:t>ce</w:t>
            </w:r>
            <w:r w:rsidRPr="725F14BC">
              <w:rPr>
                <w:sz w:val="24"/>
                <w:szCs w:val="24"/>
                <w:lang w:val="cs-CZ"/>
              </w:rPr>
              <w:t xml:space="preserve"> nebo technické specifikace po otevření nabídek nebo je nesprávně uplatnil, což mělo za následek neoprávněné přijetí </w:t>
            </w:r>
            <w:r w:rsidR="00262A26">
              <w:rPr>
                <w:sz w:val="24"/>
                <w:szCs w:val="24"/>
                <w:lang w:val="cs-CZ"/>
              </w:rPr>
              <w:t>účastníků</w:t>
            </w:r>
            <w:r w:rsidR="00262A26" w:rsidRPr="725F14BC">
              <w:rPr>
                <w:sz w:val="24"/>
                <w:szCs w:val="24"/>
                <w:lang w:val="cs-CZ"/>
              </w:rPr>
              <w:t xml:space="preserve"> </w:t>
            </w:r>
            <w:r w:rsidRPr="725F14BC">
              <w:rPr>
                <w:sz w:val="24"/>
                <w:szCs w:val="24"/>
                <w:lang w:val="cs-CZ"/>
              </w:rPr>
              <w:t>nebo neoprávněné vyloučení</w:t>
            </w:r>
          </w:p>
          <w:p w14:paraId="3DD943D8" w14:textId="3CA2E5AD" w:rsidR="0094139E" w:rsidRPr="005D14B7" w:rsidRDefault="00262A26" w:rsidP="0000617B">
            <w:pPr>
              <w:pStyle w:val="TableParagraph"/>
              <w:spacing w:line="273" w:lineRule="exact"/>
              <w:rPr>
                <w:sz w:val="24"/>
                <w:szCs w:val="24"/>
                <w:lang w:val="cs-CZ"/>
              </w:rPr>
            </w:pPr>
            <w:r>
              <w:rPr>
                <w:sz w:val="24"/>
                <w:szCs w:val="24"/>
                <w:lang w:val="cs-CZ"/>
              </w:rPr>
              <w:t>účastníků</w:t>
            </w:r>
          </w:p>
        </w:tc>
        <w:tc>
          <w:tcPr>
            <w:tcW w:w="3118" w:type="dxa"/>
          </w:tcPr>
          <w:p w14:paraId="7B83454A" w14:textId="77777777" w:rsidR="0094139E" w:rsidRPr="005D14B7" w:rsidRDefault="725F14BC" w:rsidP="0000617B">
            <w:pPr>
              <w:pStyle w:val="TableParagraph"/>
              <w:spacing w:line="292" w:lineRule="exact"/>
              <w:ind w:left="105"/>
              <w:rPr>
                <w:sz w:val="24"/>
                <w:szCs w:val="24"/>
                <w:lang w:val="cs-CZ"/>
              </w:rPr>
            </w:pPr>
            <w:r w:rsidRPr="725F14BC">
              <w:rPr>
                <w:sz w:val="24"/>
                <w:szCs w:val="24"/>
                <w:lang w:val="cs-CZ"/>
              </w:rPr>
              <w:t>25 %</w:t>
            </w:r>
          </w:p>
        </w:tc>
      </w:tr>
      <w:tr w:rsidR="0094139E" w:rsidRPr="005D14B7" w14:paraId="1386E608" w14:textId="77777777" w:rsidTr="0000617B">
        <w:trPr>
          <w:trHeight w:val="1920"/>
        </w:trPr>
        <w:tc>
          <w:tcPr>
            <w:tcW w:w="709" w:type="dxa"/>
            <w:vMerge/>
            <w:tcBorders>
              <w:top w:val="nil"/>
            </w:tcBorders>
          </w:tcPr>
          <w:p w14:paraId="0DE4B5B7" w14:textId="77777777" w:rsidR="0094139E" w:rsidRPr="005D14B7" w:rsidRDefault="0094139E" w:rsidP="0000617B">
            <w:pPr>
              <w:rPr>
                <w:sz w:val="2"/>
                <w:szCs w:val="2"/>
                <w:lang w:val="cs-CZ"/>
              </w:rPr>
            </w:pPr>
          </w:p>
        </w:tc>
        <w:tc>
          <w:tcPr>
            <w:tcW w:w="2552" w:type="dxa"/>
            <w:vMerge/>
            <w:tcBorders>
              <w:top w:val="nil"/>
            </w:tcBorders>
          </w:tcPr>
          <w:p w14:paraId="66204FF1" w14:textId="77777777" w:rsidR="0094139E" w:rsidRPr="005D14B7" w:rsidRDefault="0094139E" w:rsidP="0000617B">
            <w:pPr>
              <w:rPr>
                <w:sz w:val="2"/>
                <w:szCs w:val="2"/>
                <w:lang w:val="cs-CZ"/>
              </w:rPr>
            </w:pPr>
          </w:p>
        </w:tc>
        <w:tc>
          <w:tcPr>
            <w:tcW w:w="3260" w:type="dxa"/>
            <w:vMerge/>
            <w:tcBorders>
              <w:top w:val="nil"/>
            </w:tcBorders>
          </w:tcPr>
          <w:p w14:paraId="2DBF0D7D" w14:textId="77777777" w:rsidR="0094139E" w:rsidRPr="005D14B7" w:rsidRDefault="0094139E" w:rsidP="0000617B">
            <w:pPr>
              <w:rPr>
                <w:sz w:val="2"/>
                <w:szCs w:val="2"/>
                <w:lang w:val="cs-CZ"/>
              </w:rPr>
            </w:pPr>
          </w:p>
        </w:tc>
        <w:tc>
          <w:tcPr>
            <w:tcW w:w="3118" w:type="dxa"/>
          </w:tcPr>
          <w:p w14:paraId="1883E4E9" w14:textId="77777777" w:rsidR="0094139E" w:rsidRPr="005D14B7" w:rsidRDefault="725F14BC" w:rsidP="0000617B">
            <w:pPr>
              <w:pStyle w:val="TableParagraph"/>
              <w:ind w:left="105" w:right="503"/>
              <w:rPr>
                <w:sz w:val="24"/>
                <w:szCs w:val="24"/>
                <w:lang w:val="cs-CZ"/>
              </w:rPr>
            </w:pPr>
            <w:r w:rsidRPr="725F14BC">
              <w:rPr>
                <w:sz w:val="24"/>
                <w:szCs w:val="24"/>
                <w:lang w:val="cs-CZ"/>
              </w:rPr>
              <w:t>5-10 % v méně závažných případech</w:t>
            </w:r>
          </w:p>
        </w:tc>
      </w:tr>
      <w:tr w:rsidR="0094139E" w:rsidRPr="005D14B7" w14:paraId="3562261C" w14:textId="77777777" w:rsidTr="0000617B">
        <w:trPr>
          <w:trHeight w:val="903"/>
        </w:trPr>
        <w:tc>
          <w:tcPr>
            <w:tcW w:w="709" w:type="dxa"/>
            <w:vMerge w:val="restart"/>
          </w:tcPr>
          <w:p w14:paraId="00F6DC0A" w14:textId="5941ED72" w:rsidR="0094139E" w:rsidRPr="005D14B7" w:rsidRDefault="725F14BC" w:rsidP="0000617B">
            <w:pPr>
              <w:pStyle w:val="TableParagraph"/>
              <w:ind w:left="107"/>
              <w:rPr>
                <w:sz w:val="24"/>
                <w:szCs w:val="24"/>
                <w:lang w:val="cs-CZ"/>
              </w:rPr>
            </w:pPr>
            <w:r w:rsidRPr="725F14BC">
              <w:rPr>
                <w:sz w:val="24"/>
                <w:szCs w:val="24"/>
                <w:lang w:val="cs-CZ"/>
              </w:rPr>
              <w:t>1</w:t>
            </w:r>
            <w:r w:rsidR="00C5083D">
              <w:rPr>
                <w:sz w:val="24"/>
                <w:szCs w:val="24"/>
                <w:lang w:val="cs-CZ"/>
              </w:rPr>
              <w:t>9</w:t>
            </w:r>
            <w:r w:rsidRPr="725F14BC">
              <w:rPr>
                <w:sz w:val="24"/>
                <w:szCs w:val="24"/>
                <w:lang w:val="cs-CZ"/>
              </w:rPr>
              <w:t>.</w:t>
            </w:r>
          </w:p>
        </w:tc>
        <w:tc>
          <w:tcPr>
            <w:tcW w:w="2552" w:type="dxa"/>
            <w:vMerge w:val="restart"/>
          </w:tcPr>
          <w:p w14:paraId="538770C5" w14:textId="60122F28" w:rsidR="0094139E" w:rsidRPr="005D14B7" w:rsidRDefault="725F14BC" w:rsidP="0000617B">
            <w:pPr>
              <w:pStyle w:val="TableParagraph"/>
              <w:ind w:right="300"/>
              <w:rPr>
                <w:sz w:val="24"/>
                <w:szCs w:val="24"/>
                <w:lang w:val="cs-CZ"/>
              </w:rPr>
            </w:pPr>
            <w:r w:rsidRPr="725F14BC">
              <w:rPr>
                <w:sz w:val="24"/>
                <w:szCs w:val="24"/>
                <w:lang w:val="cs-CZ"/>
              </w:rPr>
              <w:t xml:space="preserve">Hodnocení s použitím jiných </w:t>
            </w:r>
            <w:r w:rsidR="00262A26" w:rsidRPr="725F14BC">
              <w:rPr>
                <w:sz w:val="24"/>
                <w:szCs w:val="24"/>
                <w:lang w:val="cs-CZ"/>
              </w:rPr>
              <w:t xml:space="preserve">kritérií </w:t>
            </w:r>
            <w:r w:rsidRPr="725F14BC">
              <w:rPr>
                <w:sz w:val="24"/>
                <w:szCs w:val="24"/>
                <w:lang w:val="cs-CZ"/>
              </w:rPr>
              <w:t>hodno</w:t>
            </w:r>
            <w:r w:rsidR="00262A26">
              <w:rPr>
                <w:sz w:val="24"/>
                <w:szCs w:val="24"/>
                <w:lang w:val="cs-CZ"/>
              </w:rPr>
              <w:t>cen</w:t>
            </w:r>
            <w:r w:rsidRPr="725F14BC">
              <w:rPr>
                <w:sz w:val="24"/>
                <w:szCs w:val="24"/>
                <w:lang w:val="cs-CZ"/>
              </w:rPr>
              <w:t xml:space="preserve">í </w:t>
            </w:r>
          </w:p>
        </w:tc>
        <w:tc>
          <w:tcPr>
            <w:tcW w:w="3260" w:type="dxa"/>
            <w:vMerge w:val="restart"/>
          </w:tcPr>
          <w:p w14:paraId="0C64048C" w14:textId="367E46DA" w:rsidR="0094139E" w:rsidRPr="005D14B7" w:rsidRDefault="725F14BC" w:rsidP="0000617B">
            <w:pPr>
              <w:pStyle w:val="TableParagraph"/>
              <w:ind w:right="206"/>
              <w:rPr>
                <w:sz w:val="24"/>
                <w:szCs w:val="24"/>
                <w:lang w:val="cs-CZ"/>
              </w:rPr>
            </w:pPr>
            <w:r w:rsidRPr="725F14BC">
              <w:rPr>
                <w:sz w:val="24"/>
                <w:szCs w:val="24"/>
                <w:lang w:val="cs-CZ"/>
              </w:rPr>
              <w:t xml:space="preserve">Zadavatel hodnotil nabídky s použitím </w:t>
            </w:r>
            <w:r w:rsidR="00262A26" w:rsidRPr="725F14BC">
              <w:rPr>
                <w:sz w:val="24"/>
                <w:szCs w:val="24"/>
                <w:lang w:val="cs-CZ"/>
              </w:rPr>
              <w:t xml:space="preserve">kritérií </w:t>
            </w:r>
            <w:r w:rsidRPr="725F14BC">
              <w:rPr>
                <w:sz w:val="24"/>
                <w:szCs w:val="24"/>
                <w:lang w:val="cs-CZ"/>
              </w:rPr>
              <w:t>hodno</w:t>
            </w:r>
            <w:r w:rsidR="00262A26">
              <w:rPr>
                <w:sz w:val="24"/>
                <w:szCs w:val="24"/>
                <w:lang w:val="cs-CZ"/>
              </w:rPr>
              <w:t>cen</w:t>
            </w:r>
            <w:r w:rsidRPr="725F14BC">
              <w:rPr>
                <w:sz w:val="24"/>
                <w:szCs w:val="24"/>
                <w:lang w:val="cs-CZ"/>
              </w:rPr>
              <w:t xml:space="preserve">í, která se liší od kritérií uvedených v oznámení o zahájení zadávacího/výběrového řízení nebo v zadávací dokumentaci nebo hodnotil nabídky za použití dodatečných </w:t>
            </w:r>
            <w:r w:rsidR="00262A26" w:rsidRPr="725F14BC">
              <w:rPr>
                <w:sz w:val="24"/>
                <w:szCs w:val="24"/>
                <w:lang w:val="cs-CZ"/>
              </w:rPr>
              <w:t xml:space="preserve">kritérií </w:t>
            </w:r>
            <w:r w:rsidRPr="725F14BC">
              <w:rPr>
                <w:sz w:val="24"/>
                <w:szCs w:val="24"/>
                <w:lang w:val="cs-CZ"/>
              </w:rPr>
              <w:t>hodno</w:t>
            </w:r>
            <w:r w:rsidR="00262A26">
              <w:rPr>
                <w:sz w:val="24"/>
                <w:szCs w:val="24"/>
                <w:lang w:val="cs-CZ"/>
              </w:rPr>
              <w:t>cen</w:t>
            </w:r>
            <w:r w:rsidRPr="725F14BC">
              <w:rPr>
                <w:sz w:val="24"/>
                <w:szCs w:val="24"/>
                <w:lang w:val="cs-CZ"/>
              </w:rPr>
              <w:t>í, která</w:t>
            </w:r>
          </w:p>
          <w:p w14:paraId="7FDCEA9E" w14:textId="77777777" w:rsidR="0094139E" w:rsidRPr="005D14B7" w:rsidRDefault="725F14BC" w:rsidP="0000617B">
            <w:pPr>
              <w:pStyle w:val="TableParagraph"/>
              <w:spacing w:line="273" w:lineRule="exact"/>
              <w:rPr>
                <w:sz w:val="24"/>
                <w:szCs w:val="24"/>
                <w:lang w:val="cs-CZ"/>
              </w:rPr>
            </w:pPr>
            <w:r w:rsidRPr="725F14BC">
              <w:rPr>
                <w:sz w:val="24"/>
                <w:szCs w:val="24"/>
                <w:lang w:val="cs-CZ"/>
              </w:rPr>
              <w:t>nebyla zveřejněna</w:t>
            </w:r>
          </w:p>
        </w:tc>
        <w:tc>
          <w:tcPr>
            <w:tcW w:w="3118" w:type="dxa"/>
          </w:tcPr>
          <w:p w14:paraId="15DCC4D3" w14:textId="77777777" w:rsidR="0094139E" w:rsidRPr="005D14B7" w:rsidRDefault="725F14BC" w:rsidP="0000617B">
            <w:pPr>
              <w:pStyle w:val="TableParagraph"/>
              <w:ind w:left="105" w:right="406"/>
              <w:rPr>
                <w:sz w:val="24"/>
                <w:szCs w:val="24"/>
                <w:lang w:val="cs-CZ"/>
              </w:rPr>
            </w:pPr>
            <w:r w:rsidRPr="725F14BC">
              <w:rPr>
                <w:sz w:val="24"/>
                <w:szCs w:val="24"/>
                <w:lang w:val="cs-CZ"/>
              </w:rPr>
              <w:t>25 % v případech, kdy tato skutečnost měla diskriminační účinek</w:t>
            </w:r>
          </w:p>
        </w:tc>
      </w:tr>
      <w:tr w:rsidR="0094139E" w:rsidRPr="005D14B7" w14:paraId="7D86F8E2" w14:textId="77777777" w:rsidTr="0000617B">
        <w:trPr>
          <w:trHeight w:val="2309"/>
        </w:trPr>
        <w:tc>
          <w:tcPr>
            <w:tcW w:w="709" w:type="dxa"/>
            <w:vMerge/>
            <w:tcBorders>
              <w:top w:val="nil"/>
            </w:tcBorders>
          </w:tcPr>
          <w:p w14:paraId="6B62F1B3" w14:textId="77777777" w:rsidR="0094139E" w:rsidRPr="005D14B7" w:rsidRDefault="0094139E" w:rsidP="0000617B">
            <w:pPr>
              <w:rPr>
                <w:sz w:val="2"/>
                <w:szCs w:val="2"/>
                <w:lang w:val="cs-CZ"/>
              </w:rPr>
            </w:pPr>
          </w:p>
        </w:tc>
        <w:tc>
          <w:tcPr>
            <w:tcW w:w="2552" w:type="dxa"/>
            <w:vMerge/>
            <w:tcBorders>
              <w:top w:val="nil"/>
            </w:tcBorders>
          </w:tcPr>
          <w:p w14:paraId="02F2C34E" w14:textId="77777777" w:rsidR="0094139E" w:rsidRPr="005D14B7" w:rsidRDefault="0094139E" w:rsidP="0000617B">
            <w:pPr>
              <w:rPr>
                <w:sz w:val="2"/>
                <w:szCs w:val="2"/>
                <w:lang w:val="cs-CZ"/>
              </w:rPr>
            </w:pPr>
          </w:p>
        </w:tc>
        <w:tc>
          <w:tcPr>
            <w:tcW w:w="3260" w:type="dxa"/>
            <w:vMerge/>
            <w:tcBorders>
              <w:top w:val="nil"/>
            </w:tcBorders>
          </w:tcPr>
          <w:p w14:paraId="680A4E5D" w14:textId="77777777" w:rsidR="0094139E" w:rsidRPr="005D14B7" w:rsidRDefault="0094139E" w:rsidP="0000617B">
            <w:pPr>
              <w:rPr>
                <w:sz w:val="2"/>
                <w:szCs w:val="2"/>
                <w:lang w:val="cs-CZ"/>
              </w:rPr>
            </w:pPr>
          </w:p>
        </w:tc>
        <w:tc>
          <w:tcPr>
            <w:tcW w:w="3118" w:type="dxa"/>
          </w:tcPr>
          <w:p w14:paraId="023DE6AC" w14:textId="77777777" w:rsidR="0094139E" w:rsidRPr="005D14B7" w:rsidRDefault="725F14BC" w:rsidP="0000617B">
            <w:pPr>
              <w:pStyle w:val="TableParagraph"/>
              <w:spacing w:line="292" w:lineRule="exact"/>
              <w:ind w:left="105"/>
              <w:rPr>
                <w:sz w:val="24"/>
                <w:szCs w:val="24"/>
                <w:lang w:val="cs-CZ"/>
              </w:rPr>
            </w:pPr>
            <w:r w:rsidRPr="725F14BC">
              <w:rPr>
                <w:sz w:val="24"/>
                <w:szCs w:val="24"/>
                <w:lang w:val="cs-CZ"/>
              </w:rPr>
              <w:t>10 % v ostatních případech</w:t>
            </w:r>
          </w:p>
        </w:tc>
      </w:tr>
      <w:tr w:rsidR="0094139E" w:rsidRPr="005D14B7" w14:paraId="7EA1214D" w14:textId="77777777" w:rsidTr="0000617B">
        <w:trPr>
          <w:trHeight w:val="999"/>
        </w:trPr>
        <w:tc>
          <w:tcPr>
            <w:tcW w:w="709" w:type="dxa"/>
            <w:vMerge w:val="restart"/>
          </w:tcPr>
          <w:p w14:paraId="77F06FB0" w14:textId="5E371DC6" w:rsidR="0094139E" w:rsidRPr="005D14B7" w:rsidRDefault="00C5083D" w:rsidP="0000617B">
            <w:pPr>
              <w:pStyle w:val="TableParagraph"/>
              <w:spacing w:line="292" w:lineRule="exact"/>
              <w:ind w:left="107"/>
              <w:rPr>
                <w:sz w:val="24"/>
                <w:szCs w:val="24"/>
                <w:lang w:val="cs-CZ"/>
              </w:rPr>
            </w:pPr>
            <w:r>
              <w:rPr>
                <w:sz w:val="24"/>
                <w:szCs w:val="24"/>
                <w:lang w:val="cs-CZ"/>
              </w:rPr>
              <w:t>20</w:t>
            </w:r>
            <w:r w:rsidR="725F14BC" w:rsidRPr="725F14BC">
              <w:rPr>
                <w:sz w:val="24"/>
                <w:szCs w:val="24"/>
                <w:lang w:val="cs-CZ"/>
              </w:rPr>
              <w:t>.</w:t>
            </w:r>
          </w:p>
        </w:tc>
        <w:tc>
          <w:tcPr>
            <w:tcW w:w="2552" w:type="dxa"/>
            <w:vMerge w:val="restart"/>
          </w:tcPr>
          <w:p w14:paraId="31FF376F" w14:textId="77777777" w:rsidR="0094139E" w:rsidRPr="005D14B7" w:rsidRDefault="725F14BC" w:rsidP="0000617B">
            <w:pPr>
              <w:pStyle w:val="TableParagraph"/>
              <w:ind w:right="201"/>
              <w:rPr>
                <w:sz w:val="24"/>
                <w:szCs w:val="24"/>
                <w:lang w:val="cs-CZ"/>
              </w:rPr>
            </w:pPr>
            <w:r w:rsidRPr="725F14BC">
              <w:rPr>
                <w:sz w:val="24"/>
                <w:szCs w:val="24"/>
                <w:lang w:val="cs-CZ"/>
              </w:rPr>
              <w:t>Nedostatečné zajištění auditní stopy</w:t>
            </w:r>
          </w:p>
        </w:tc>
        <w:tc>
          <w:tcPr>
            <w:tcW w:w="3260" w:type="dxa"/>
            <w:vMerge w:val="restart"/>
          </w:tcPr>
          <w:p w14:paraId="02D590A7" w14:textId="2570FA87" w:rsidR="0094139E" w:rsidRPr="005D14B7" w:rsidRDefault="725F14BC" w:rsidP="0000617B">
            <w:pPr>
              <w:pStyle w:val="TableParagraph"/>
              <w:ind w:right="127"/>
              <w:rPr>
                <w:sz w:val="24"/>
                <w:szCs w:val="24"/>
                <w:lang w:val="cs-CZ"/>
              </w:rPr>
            </w:pPr>
            <w:r w:rsidRPr="725F14BC">
              <w:rPr>
                <w:sz w:val="24"/>
                <w:szCs w:val="24"/>
                <w:lang w:val="cs-CZ"/>
              </w:rPr>
              <w:t>Zadavatel nedostatečně zajistil auditní stopu pro zadání veřejné zakázky</w:t>
            </w:r>
          </w:p>
        </w:tc>
        <w:tc>
          <w:tcPr>
            <w:tcW w:w="3118" w:type="dxa"/>
          </w:tcPr>
          <w:p w14:paraId="22CC4F86" w14:textId="77777777" w:rsidR="0094139E" w:rsidRPr="005D14B7" w:rsidRDefault="725F14BC" w:rsidP="0000617B">
            <w:pPr>
              <w:pStyle w:val="TableParagraph"/>
              <w:ind w:left="105" w:right="260"/>
              <w:rPr>
                <w:sz w:val="24"/>
                <w:szCs w:val="24"/>
                <w:lang w:val="cs-CZ"/>
              </w:rPr>
            </w:pPr>
            <w:r w:rsidRPr="725F14BC">
              <w:rPr>
                <w:sz w:val="24"/>
                <w:szCs w:val="24"/>
                <w:lang w:val="cs-CZ"/>
              </w:rPr>
              <w:t>100 % v případech, kdy není doložena žádná dokumentace</w:t>
            </w:r>
          </w:p>
        </w:tc>
      </w:tr>
      <w:tr w:rsidR="0094139E" w:rsidRPr="005D14B7" w14:paraId="76A56AEF" w14:textId="77777777" w:rsidTr="0000617B">
        <w:trPr>
          <w:trHeight w:val="2170"/>
        </w:trPr>
        <w:tc>
          <w:tcPr>
            <w:tcW w:w="709" w:type="dxa"/>
            <w:vMerge/>
            <w:tcBorders>
              <w:top w:val="nil"/>
            </w:tcBorders>
          </w:tcPr>
          <w:p w14:paraId="19219836" w14:textId="77777777" w:rsidR="0094139E" w:rsidRPr="005D14B7" w:rsidRDefault="0094139E" w:rsidP="0000617B">
            <w:pPr>
              <w:rPr>
                <w:sz w:val="2"/>
                <w:szCs w:val="2"/>
                <w:lang w:val="cs-CZ"/>
              </w:rPr>
            </w:pPr>
          </w:p>
        </w:tc>
        <w:tc>
          <w:tcPr>
            <w:tcW w:w="2552" w:type="dxa"/>
            <w:vMerge/>
            <w:tcBorders>
              <w:top w:val="nil"/>
            </w:tcBorders>
          </w:tcPr>
          <w:p w14:paraId="296FEF7D" w14:textId="77777777" w:rsidR="0094139E" w:rsidRPr="005D14B7" w:rsidRDefault="0094139E" w:rsidP="0000617B">
            <w:pPr>
              <w:rPr>
                <w:sz w:val="2"/>
                <w:szCs w:val="2"/>
                <w:lang w:val="cs-CZ"/>
              </w:rPr>
            </w:pPr>
          </w:p>
        </w:tc>
        <w:tc>
          <w:tcPr>
            <w:tcW w:w="3260" w:type="dxa"/>
            <w:vMerge/>
            <w:tcBorders>
              <w:top w:val="nil"/>
            </w:tcBorders>
          </w:tcPr>
          <w:p w14:paraId="7194DBDC" w14:textId="77777777" w:rsidR="0094139E" w:rsidRPr="005D14B7" w:rsidRDefault="0094139E" w:rsidP="0000617B">
            <w:pPr>
              <w:rPr>
                <w:sz w:val="2"/>
                <w:szCs w:val="2"/>
                <w:lang w:val="cs-CZ"/>
              </w:rPr>
            </w:pPr>
          </w:p>
        </w:tc>
        <w:tc>
          <w:tcPr>
            <w:tcW w:w="3118" w:type="dxa"/>
          </w:tcPr>
          <w:p w14:paraId="7F58C075" w14:textId="7A47E501" w:rsidR="0094139E" w:rsidRPr="005D14B7" w:rsidRDefault="725F14BC" w:rsidP="0000617B">
            <w:pPr>
              <w:pStyle w:val="TableParagraph"/>
              <w:ind w:left="105" w:right="234"/>
              <w:rPr>
                <w:sz w:val="24"/>
                <w:szCs w:val="24"/>
                <w:lang w:val="cs-CZ"/>
              </w:rPr>
            </w:pPr>
            <w:r w:rsidRPr="725F14BC">
              <w:rPr>
                <w:sz w:val="24"/>
                <w:szCs w:val="24"/>
                <w:lang w:val="cs-CZ"/>
              </w:rPr>
              <w:t>25 % v případech, kdy příslušná dokumentace není dostatečná k odůvodnění zadání veřejné zakázky, což vede k nedostatečné transparentnosti</w:t>
            </w:r>
          </w:p>
        </w:tc>
      </w:tr>
      <w:tr w:rsidR="0094139E" w:rsidRPr="005D14B7" w14:paraId="4F115BF5" w14:textId="77777777" w:rsidTr="0000617B">
        <w:trPr>
          <w:trHeight w:val="706"/>
        </w:trPr>
        <w:tc>
          <w:tcPr>
            <w:tcW w:w="709" w:type="dxa"/>
            <w:vMerge/>
            <w:tcBorders>
              <w:top w:val="nil"/>
            </w:tcBorders>
          </w:tcPr>
          <w:p w14:paraId="769D0D3C" w14:textId="77777777" w:rsidR="0094139E" w:rsidRPr="005D14B7" w:rsidRDefault="0094139E" w:rsidP="0000617B">
            <w:pPr>
              <w:rPr>
                <w:sz w:val="2"/>
                <w:szCs w:val="2"/>
                <w:lang w:val="cs-CZ"/>
              </w:rPr>
            </w:pPr>
          </w:p>
        </w:tc>
        <w:tc>
          <w:tcPr>
            <w:tcW w:w="2552" w:type="dxa"/>
            <w:vMerge/>
            <w:tcBorders>
              <w:top w:val="nil"/>
            </w:tcBorders>
          </w:tcPr>
          <w:p w14:paraId="54CD245A" w14:textId="77777777" w:rsidR="0094139E" w:rsidRPr="005D14B7" w:rsidRDefault="0094139E" w:rsidP="0000617B">
            <w:pPr>
              <w:rPr>
                <w:sz w:val="2"/>
                <w:szCs w:val="2"/>
                <w:lang w:val="cs-CZ"/>
              </w:rPr>
            </w:pPr>
          </w:p>
        </w:tc>
        <w:tc>
          <w:tcPr>
            <w:tcW w:w="3260" w:type="dxa"/>
            <w:vMerge/>
            <w:tcBorders>
              <w:top w:val="nil"/>
            </w:tcBorders>
          </w:tcPr>
          <w:p w14:paraId="1231BE67" w14:textId="77777777" w:rsidR="0094139E" w:rsidRPr="005D14B7" w:rsidRDefault="0094139E" w:rsidP="0000617B">
            <w:pPr>
              <w:rPr>
                <w:sz w:val="2"/>
                <w:szCs w:val="2"/>
                <w:lang w:val="cs-CZ"/>
              </w:rPr>
            </w:pPr>
          </w:p>
        </w:tc>
        <w:tc>
          <w:tcPr>
            <w:tcW w:w="3118" w:type="dxa"/>
          </w:tcPr>
          <w:p w14:paraId="72AF382F" w14:textId="77777777" w:rsidR="0094139E" w:rsidRPr="005D14B7" w:rsidRDefault="725F14BC" w:rsidP="0000617B">
            <w:pPr>
              <w:pStyle w:val="TableParagraph"/>
              <w:ind w:left="105" w:right="625"/>
              <w:rPr>
                <w:sz w:val="24"/>
                <w:szCs w:val="24"/>
                <w:lang w:val="cs-CZ"/>
              </w:rPr>
            </w:pPr>
            <w:r w:rsidRPr="725F14BC">
              <w:rPr>
                <w:sz w:val="24"/>
                <w:szCs w:val="24"/>
                <w:lang w:val="cs-CZ"/>
              </w:rPr>
              <w:t>0-5 % v méně závažných případech</w:t>
            </w:r>
          </w:p>
        </w:tc>
      </w:tr>
      <w:tr w:rsidR="00C5083D" w:rsidRPr="005D14B7" w14:paraId="6E130AD9" w14:textId="77777777" w:rsidTr="0000617B">
        <w:trPr>
          <w:trHeight w:val="458"/>
        </w:trPr>
        <w:tc>
          <w:tcPr>
            <w:tcW w:w="709" w:type="dxa"/>
            <w:vMerge w:val="restart"/>
          </w:tcPr>
          <w:p w14:paraId="679B977D" w14:textId="5CC1AC8E" w:rsidR="00C5083D" w:rsidRPr="005D14B7" w:rsidRDefault="00C5083D" w:rsidP="0000617B">
            <w:pPr>
              <w:pStyle w:val="TableParagraph"/>
              <w:spacing w:line="292" w:lineRule="exact"/>
              <w:ind w:left="88" w:right="233"/>
              <w:jc w:val="center"/>
              <w:rPr>
                <w:sz w:val="24"/>
                <w:szCs w:val="24"/>
                <w:lang w:val="cs-CZ"/>
              </w:rPr>
            </w:pPr>
            <w:r>
              <w:rPr>
                <w:sz w:val="24"/>
                <w:szCs w:val="24"/>
                <w:lang w:val="cs-CZ"/>
              </w:rPr>
              <w:t>21</w:t>
            </w:r>
            <w:r w:rsidRPr="725F14BC">
              <w:rPr>
                <w:sz w:val="24"/>
                <w:szCs w:val="24"/>
                <w:lang w:val="cs-CZ"/>
              </w:rPr>
              <w:t>.</w:t>
            </w:r>
          </w:p>
        </w:tc>
        <w:tc>
          <w:tcPr>
            <w:tcW w:w="2552" w:type="dxa"/>
            <w:vMerge w:val="restart"/>
          </w:tcPr>
          <w:p w14:paraId="5FC84BDA" w14:textId="77777777" w:rsidR="00C5083D" w:rsidRPr="005D14B7" w:rsidRDefault="00C5083D" w:rsidP="0000617B">
            <w:pPr>
              <w:pStyle w:val="TableParagraph"/>
              <w:ind w:right="104"/>
              <w:rPr>
                <w:sz w:val="24"/>
                <w:szCs w:val="24"/>
                <w:lang w:val="cs-CZ"/>
              </w:rPr>
            </w:pPr>
            <w:r w:rsidRPr="725F14BC">
              <w:rPr>
                <w:sz w:val="24"/>
                <w:szCs w:val="24"/>
                <w:lang w:val="cs-CZ"/>
              </w:rPr>
              <w:t>Nezákonné vyjednávání o nabídkách</w:t>
            </w:r>
          </w:p>
        </w:tc>
        <w:tc>
          <w:tcPr>
            <w:tcW w:w="3260" w:type="dxa"/>
            <w:vMerge w:val="restart"/>
          </w:tcPr>
          <w:p w14:paraId="2FA969A3" w14:textId="33296102" w:rsidR="00C5083D" w:rsidRPr="005D14B7" w:rsidRDefault="00C5083D" w:rsidP="0000617B">
            <w:pPr>
              <w:pStyle w:val="TableParagraph"/>
              <w:ind w:right="352"/>
              <w:rPr>
                <w:sz w:val="24"/>
                <w:szCs w:val="24"/>
                <w:lang w:val="cs-CZ"/>
              </w:rPr>
            </w:pPr>
            <w:r w:rsidRPr="725F14BC">
              <w:rPr>
                <w:sz w:val="24"/>
                <w:szCs w:val="24"/>
                <w:lang w:val="cs-CZ"/>
              </w:rPr>
              <w:t>Zadavatel protiprávně vyjednává o nabídkách nebo jedná v</w:t>
            </w:r>
            <w:r>
              <w:rPr>
                <w:sz w:val="24"/>
                <w:szCs w:val="24"/>
                <w:lang w:val="cs-CZ"/>
              </w:rPr>
              <w:t> </w:t>
            </w:r>
            <w:r w:rsidRPr="725F14BC">
              <w:rPr>
                <w:sz w:val="24"/>
                <w:szCs w:val="24"/>
                <w:lang w:val="cs-CZ"/>
              </w:rPr>
              <w:t>průběhu</w:t>
            </w:r>
            <w:r>
              <w:rPr>
                <w:sz w:val="24"/>
                <w:szCs w:val="24"/>
                <w:lang w:val="cs-CZ"/>
              </w:rPr>
              <w:t xml:space="preserve"> </w:t>
            </w:r>
            <w:r w:rsidRPr="725F14BC">
              <w:rPr>
                <w:sz w:val="24"/>
                <w:szCs w:val="24"/>
                <w:lang w:val="cs-CZ"/>
              </w:rPr>
              <w:t xml:space="preserve">zadávacího/výběrového řízení, včetně úpravy nabídky </w:t>
            </w:r>
            <w:r w:rsidR="00262A26">
              <w:rPr>
                <w:sz w:val="24"/>
                <w:szCs w:val="24"/>
                <w:lang w:val="cs-CZ"/>
              </w:rPr>
              <w:t xml:space="preserve">podané vybraným </w:t>
            </w:r>
            <w:r w:rsidR="00262A26">
              <w:rPr>
                <w:sz w:val="24"/>
                <w:szCs w:val="24"/>
                <w:lang w:val="cs-CZ"/>
              </w:rPr>
              <w:lastRenderedPageBreak/>
              <w:t xml:space="preserve">dodavatelem </w:t>
            </w:r>
            <w:r w:rsidRPr="725F14BC">
              <w:rPr>
                <w:sz w:val="24"/>
                <w:szCs w:val="24"/>
                <w:lang w:val="cs-CZ"/>
              </w:rPr>
              <w:t>během hodnocení</w:t>
            </w:r>
          </w:p>
        </w:tc>
        <w:tc>
          <w:tcPr>
            <w:tcW w:w="3118" w:type="dxa"/>
          </w:tcPr>
          <w:p w14:paraId="1051687C" w14:textId="77777777" w:rsidR="00C5083D" w:rsidRPr="005D14B7" w:rsidRDefault="00C5083D" w:rsidP="0000617B">
            <w:pPr>
              <w:pStyle w:val="TableParagraph"/>
              <w:spacing w:line="292" w:lineRule="exact"/>
              <w:ind w:left="105"/>
              <w:rPr>
                <w:sz w:val="24"/>
                <w:szCs w:val="24"/>
                <w:lang w:val="cs-CZ"/>
              </w:rPr>
            </w:pPr>
            <w:r w:rsidRPr="725F14BC">
              <w:rPr>
                <w:sz w:val="24"/>
                <w:szCs w:val="24"/>
                <w:lang w:val="cs-CZ"/>
              </w:rPr>
              <w:lastRenderedPageBreak/>
              <w:t>25 %</w:t>
            </w:r>
          </w:p>
        </w:tc>
      </w:tr>
      <w:tr w:rsidR="00C5083D" w:rsidRPr="005D14B7" w14:paraId="21886D7B" w14:textId="77777777" w:rsidTr="0000617B">
        <w:trPr>
          <w:trHeight w:val="457"/>
        </w:trPr>
        <w:tc>
          <w:tcPr>
            <w:tcW w:w="709" w:type="dxa"/>
            <w:vMerge/>
          </w:tcPr>
          <w:p w14:paraId="61672940" w14:textId="77777777" w:rsidR="00C5083D" w:rsidRDefault="00C5083D" w:rsidP="0000617B">
            <w:pPr>
              <w:pStyle w:val="TableParagraph"/>
              <w:spacing w:line="292" w:lineRule="exact"/>
              <w:ind w:left="88" w:right="233"/>
              <w:jc w:val="center"/>
              <w:rPr>
                <w:sz w:val="24"/>
                <w:szCs w:val="24"/>
              </w:rPr>
            </w:pPr>
          </w:p>
        </w:tc>
        <w:tc>
          <w:tcPr>
            <w:tcW w:w="2552" w:type="dxa"/>
            <w:vMerge/>
          </w:tcPr>
          <w:p w14:paraId="4DA671F6" w14:textId="77777777" w:rsidR="00C5083D" w:rsidRPr="725F14BC" w:rsidRDefault="00C5083D" w:rsidP="0000617B">
            <w:pPr>
              <w:pStyle w:val="TableParagraph"/>
              <w:ind w:right="104"/>
              <w:rPr>
                <w:sz w:val="24"/>
                <w:szCs w:val="24"/>
              </w:rPr>
            </w:pPr>
          </w:p>
        </w:tc>
        <w:tc>
          <w:tcPr>
            <w:tcW w:w="3260" w:type="dxa"/>
            <w:vMerge/>
          </w:tcPr>
          <w:p w14:paraId="056ED1EC" w14:textId="77777777" w:rsidR="00C5083D" w:rsidRPr="725F14BC" w:rsidRDefault="00C5083D" w:rsidP="0000617B">
            <w:pPr>
              <w:pStyle w:val="TableParagraph"/>
              <w:ind w:right="352"/>
              <w:rPr>
                <w:sz w:val="24"/>
                <w:szCs w:val="24"/>
              </w:rPr>
            </w:pPr>
          </w:p>
        </w:tc>
        <w:tc>
          <w:tcPr>
            <w:tcW w:w="3118" w:type="dxa"/>
          </w:tcPr>
          <w:p w14:paraId="0777FF43" w14:textId="3D835D7C" w:rsidR="00C5083D" w:rsidRPr="725F14BC" w:rsidRDefault="00C5083D" w:rsidP="0000617B">
            <w:pPr>
              <w:pStyle w:val="TableParagraph"/>
              <w:spacing w:line="292" w:lineRule="exact"/>
              <w:ind w:left="105"/>
              <w:rPr>
                <w:sz w:val="24"/>
                <w:szCs w:val="24"/>
              </w:rPr>
            </w:pPr>
            <w:r w:rsidRPr="725F14BC">
              <w:rPr>
                <w:sz w:val="24"/>
                <w:szCs w:val="24"/>
                <w:lang w:val="cs-CZ"/>
              </w:rPr>
              <w:t>5-10 % v méně závažných případech</w:t>
            </w:r>
          </w:p>
        </w:tc>
      </w:tr>
    </w:tbl>
    <w:p w14:paraId="2A154AF4" w14:textId="5E356B1E" w:rsidR="00C14128" w:rsidRDefault="00C14128" w:rsidP="0094139E">
      <w:pPr>
        <w:spacing w:line="292" w:lineRule="exact"/>
      </w:pPr>
    </w:p>
    <w:p w14:paraId="425B4048" w14:textId="69544E0B" w:rsidR="00C14128" w:rsidRDefault="00C14128"/>
    <w:tbl>
      <w:tblPr>
        <w:tblStyle w:val="NormalTable0"/>
        <w:tblpPr w:leftFromText="141" w:rightFromText="141" w:vertAnchor="text" w:tblpX="-5" w:tblpY="1"/>
        <w:tblOverlap w:val="neve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551"/>
        <w:gridCol w:w="3261"/>
        <w:gridCol w:w="3118"/>
      </w:tblGrid>
      <w:tr w:rsidR="00C14128" w:rsidRPr="005D14B7" w14:paraId="409B275C" w14:textId="77777777" w:rsidTr="0000617B">
        <w:trPr>
          <w:trHeight w:val="292"/>
        </w:trPr>
        <w:tc>
          <w:tcPr>
            <w:tcW w:w="710" w:type="dxa"/>
          </w:tcPr>
          <w:p w14:paraId="2713877D" w14:textId="77777777" w:rsidR="00C14128" w:rsidRPr="005D14B7" w:rsidRDefault="00C14128" w:rsidP="0000617B">
            <w:pPr>
              <w:pStyle w:val="TableParagraph"/>
              <w:spacing w:line="272" w:lineRule="exact"/>
              <w:ind w:left="88" w:right="143"/>
              <w:jc w:val="center"/>
              <w:rPr>
                <w:b/>
                <w:bCs/>
                <w:sz w:val="24"/>
                <w:szCs w:val="24"/>
                <w:lang w:val="cs-CZ"/>
              </w:rPr>
            </w:pPr>
            <w:r w:rsidRPr="725F14BC">
              <w:rPr>
                <w:b/>
                <w:bCs/>
                <w:sz w:val="24"/>
                <w:szCs w:val="24"/>
                <w:lang w:val="cs-CZ"/>
              </w:rPr>
              <w:t>Bod</w:t>
            </w:r>
          </w:p>
        </w:tc>
        <w:tc>
          <w:tcPr>
            <w:tcW w:w="2551" w:type="dxa"/>
          </w:tcPr>
          <w:p w14:paraId="334180A1" w14:textId="77777777" w:rsidR="00C14128" w:rsidRPr="005D14B7" w:rsidRDefault="00C14128" w:rsidP="0000617B">
            <w:pPr>
              <w:pStyle w:val="TableParagraph"/>
              <w:spacing w:line="272" w:lineRule="exact"/>
              <w:rPr>
                <w:b/>
                <w:bCs/>
                <w:sz w:val="24"/>
                <w:szCs w:val="24"/>
                <w:lang w:val="cs-CZ"/>
              </w:rPr>
            </w:pPr>
            <w:r w:rsidRPr="725F14BC">
              <w:rPr>
                <w:b/>
                <w:bCs/>
                <w:sz w:val="24"/>
                <w:szCs w:val="24"/>
                <w:lang w:val="cs-CZ"/>
              </w:rPr>
              <w:t>Typ porušení</w:t>
            </w:r>
          </w:p>
        </w:tc>
        <w:tc>
          <w:tcPr>
            <w:tcW w:w="3261" w:type="dxa"/>
          </w:tcPr>
          <w:p w14:paraId="72F07F7F" w14:textId="77777777" w:rsidR="00C14128" w:rsidRPr="005D14B7" w:rsidRDefault="00C14128" w:rsidP="0000617B">
            <w:pPr>
              <w:pStyle w:val="TableParagraph"/>
              <w:spacing w:line="272" w:lineRule="exact"/>
              <w:rPr>
                <w:b/>
                <w:bCs/>
                <w:sz w:val="24"/>
                <w:szCs w:val="24"/>
                <w:lang w:val="cs-CZ"/>
              </w:rPr>
            </w:pPr>
            <w:r w:rsidRPr="725F14BC">
              <w:rPr>
                <w:b/>
                <w:bCs/>
                <w:sz w:val="24"/>
                <w:szCs w:val="24"/>
                <w:lang w:val="cs-CZ"/>
              </w:rPr>
              <w:t>Popis pochybení</w:t>
            </w:r>
          </w:p>
        </w:tc>
        <w:tc>
          <w:tcPr>
            <w:tcW w:w="3118" w:type="dxa"/>
          </w:tcPr>
          <w:p w14:paraId="0F581144" w14:textId="77777777" w:rsidR="00C14128" w:rsidRPr="005D14B7" w:rsidRDefault="00C14128" w:rsidP="0000617B">
            <w:pPr>
              <w:pStyle w:val="TableParagraph"/>
              <w:spacing w:line="272" w:lineRule="exact"/>
              <w:ind w:left="105"/>
              <w:rPr>
                <w:b/>
                <w:bCs/>
                <w:sz w:val="24"/>
                <w:szCs w:val="24"/>
                <w:lang w:val="cs-CZ"/>
              </w:rPr>
            </w:pPr>
            <w:r w:rsidRPr="725F14BC">
              <w:rPr>
                <w:b/>
                <w:bCs/>
                <w:sz w:val="24"/>
                <w:szCs w:val="24"/>
                <w:lang w:val="cs-CZ"/>
              </w:rPr>
              <w:t>Sazba sníženého odvodu</w:t>
            </w:r>
          </w:p>
        </w:tc>
      </w:tr>
      <w:tr w:rsidR="00C14128" w:rsidRPr="005D14B7" w14:paraId="1F0A00E6" w14:textId="77777777" w:rsidTr="0000617B">
        <w:trPr>
          <w:trHeight w:val="1171"/>
        </w:trPr>
        <w:tc>
          <w:tcPr>
            <w:tcW w:w="710" w:type="dxa"/>
          </w:tcPr>
          <w:p w14:paraId="1B41BD1B" w14:textId="77777777" w:rsidR="00C14128" w:rsidRPr="005D14B7" w:rsidRDefault="00C14128" w:rsidP="0000617B">
            <w:pPr>
              <w:pStyle w:val="TableParagraph"/>
              <w:ind w:left="88" w:right="233"/>
              <w:jc w:val="center"/>
              <w:rPr>
                <w:sz w:val="24"/>
                <w:szCs w:val="24"/>
                <w:lang w:val="cs-CZ"/>
              </w:rPr>
            </w:pPr>
            <w:r>
              <w:rPr>
                <w:sz w:val="24"/>
                <w:szCs w:val="24"/>
                <w:lang w:val="cs-CZ"/>
              </w:rPr>
              <w:t>22</w:t>
            </w:r>
            <w:r w:rsidRPr="725F14BC">
              <w:rPr>
                <w:sz w:val="24"/>
                <w:szCs w:val="24"/>
                <w:lang w:val="cs-CZ"/>
              </w:rPr>
              <w:t>.</w:t>
            </w:r>
          </w:p>
        </w:tc>
        <w:tc>
          <w:tcPr>
            <w:tcW w:w="2551" w:type="dxa"/>
          </w:tcPr>
          <w:p w14:paraId="44006FA1" w14:textId="77777777" w:rsidR="00C14128" w:rsidRPr="005D14B7" w:rsidRDefault="00C14128" w:rsidP="0000617B">
            <w:pPr>
              <w:pStyle w:val="TableParagraph"/>
              <w:spacing w:line="290" w:lineRule="atLeast"/>
              <w:ind w:right="224"/>
              <w:rPr>
                <w:sz w:val="24"/>
                <w:szCs w:val="24"/>
                <w:lang w:val="cs-CZ"/>
              </w:rPr>
            </w:pPr>
            <w:r w:rsidRPr="725F14BC">
              <w:rPr>
                <w:sz w:val="24"/>
                <w:szCs w:val="24"/>
                <w:lang w:val="cs-CZ"/>
              </w:rPr>
              <w:t xml:space="preserve">Nedovolená předchozí účast </w:t>
            </w:r>
            <w:r>
              <w:rPr>
                <w:sz w:val="24"/>
                <w:szCs w:val="24"/>
                <w:lang w:val="cs-CZ"/>
              </w:rPr>
              <w:t>účastníka</w:t>
            </w:r>
            <w:r w:rsidRPr="725F14BC">
              <w:rPr>
                <w:sz w:val="24"/>
                <w:szCs w:val="24"/>
                <w:lang w:val="cs-CZ"/>
              </w:rPr>
              <w:t xml:space="preserve"> na přípravě veřejné zakázky</w:t>
            </w:r>
          </w:p>
        </w:tc>
        <w:tc>
          <w:tcPr>
            <w:tcW w:w="3261" w:type="dxa"/>
          </w:tcPr>
          <w:p w14:paraId="5FC73D84" w14:textId="77777777" w:rsidR="00C14128" w:rsidRPr="005D14B7" w:rsidRDefault="00C14128" w:rsidP="0000617B">
            <w:pPr>
              <w:pStyle w:val="TableParagraph"/>
              <w:spacing w:line="290" w:lineRule="atLeast"/>
              <w:ind w:right="253"/>
              <w:rPr>
                <w:sz w:val="24"/>
                <w:szCs w:val="24"/>
                <w:lang w:val="cs-CZ"/>
              </w:rPr>
            </w:pPr>
            <w:r w:rsidRPr="725F14BC">
              <w:rPr>
                <w:sz w:val="24"/>
                <w:szCs w:val="24"/>
                <w:lang w:val="cs-CZ"/>
              </w:rPr>
              <w:t xml:space="preserve">Zadavatel umožnil nedovolenou předchozí účast </w:t>
            </w:r>
            <w:r>
              <w:rPr>
                <w:sz w:val="24"/>
                <w:szCs w:val="24"/>
                <w:lang w:val="cs-CZ"/>
              </w:rPr>
              <w:t>účastníka</w:t>
            </w:r>
            <w:r w:rsidRPr="725F14BC">
              <w:rPr>
                <w:sz w:val="24"/>
                <w:szCs w:val="24"/>
                <w:lang w:val="cs-CZ"/>
              </w:rPr>
              <w:t xml:space="preserve"> na přípravě veřejné zakázky</w:t>
            </w:r>
          </w:p>
        </w:tc>
        <w:tc>
          <w:tcPr>
            <w:tcW w:w="3118" w:type="dxa"/>
          </w:tcPr>
          <w:p w14:paraId="798FDC79" w14:textId="77777777" w:rsidR="00C14128" w:rsidRPr="005D14B7" w:rsidRDefault="00C14128" w:rsidP="0000617B">
            <w:pPr>
              <w:pStyle w:val="TableParagraph"/>
              <w:ind w:left="105"/>
              <w:rPr>
                <w:sz w:val="24"/>
                <w:szCs w:val="24"/>
                <w:lang w:val="cs-CZ"/>
              </w:rPr>
            </w:pPr>
            <w:r w:rsidRPr="725F14BC">
              <w:rPr>
                <w:sz w:val="24"/>
                <w:szCs w:val="24"/>
                <w:lang w:val="cs-CZ"/>
              </w:rPr>
              <w:t>25 %</w:t>
            </w:r>
          </w:p>
        </w:tc>
      </w:tr>
      <w:tr w:rsidR="00C14128" w:rsidRPr="005D14B7" w14:paraId="5E1064B9" w14:textId="77777777" w:rsidTr="0000617B">
        <w:trPr>
          <w:trHeight w:val="1464"/>
        </w:trPr>
        <w:tc>
          <w:tcPr>
            <w:tcW w:w="710" w:type="dxa"/>
          </w:tcPr>
          <w:p w14:paraId="5DD1439B" w14:textId="77777777" w:rsidR="00C14128" w:rsidRPr="005D14B7" w:rsidRDefault="00C14128" w:rsidP="0000617B">
            <w:pPr>
              <w:pStyle w:val="TableParagraph"/>
              <w:spacing w:line="292" w:lineRule="exact"/>
              <w:ind w:left="88" w:right="233"/>
              <w:jc w:val="center"/>
              <w:rPr>
                <w:sz w:val="24"/>
                <w:szCs w:val="24"/>
                <w:lang w:val="cs-CZ"/>
              </w:rPr>
            </w:pPr>
            <w:r>
              <w:rPr>
                <w:sz w:val="24"/>
                <w:szCs w:val="24"/>
                <w:lang w:val="cs-CZ"/>
              </w:rPr>
              <w:t>23</w:t>
            </w:r>
            <w:r w:rsidRPr="725F14BC">
              <w:rPr>
                <w:sz w:val="24"/>
                <w:szCs w:val="24"/>
                <w:lang w:val="cs-CZ"/>
              </w:rPr>
              <w:t>.</w:t>
            </w:r>
          </w:p>
        </w:tc>
        <w:tc>
          <w:tcPr>
            <w:tcW w:w="2551" w:type="dxa"/>
          </w:tcPr>
          <w:p w14:paraId="401B7929" w14:textId="77777777" w:rsidR="00C14128" w:rsidRPr="005D14B7" w:rsidRDefault="00C14128" w:rsidP="0000617B">
            <w:pPr>
              <w:pStyle w:val="TableParagraph"/>
              <w:ind w:right="225"/>
              <w:rPr>
                <w:sz w:val="24"/>
                <w:szCs w:val="24"/>
                <w:lang w:val="cs-CZ"/>
              </w:rPr>
            </w:pPr>
            <w:r w:rsidRPr="725F14BC">
              <w:rPr>
                <w:sz w:val="24"/>
                <w:szCs w:val="24"/>
                <w:lang w:val="cs-CZ"/>
              </w:rPr>
              <w:t>Neoprávněné vyřazení nabídky z důvodu mimořádně nízké nabídkové ceny</w:t>
            </w:r>
          </w:p>
        </w:tc>
        <w:tc>
          <w:tcPr>
            <w:tcW w:w="3261" w:type="dxa"/>
          </w:tcPr>
          <w:p w14:paraId="7903EA4A" w14:textId="77777777" w:rsidR="00C14128" w:rsidRPr="005D14B7" w:rsidRDefault="00C14128" w:rsidP="0000617B">
            <w:pPr>
              <w:pStyle w:val="TableParagraph"/>
              <w:ind w:right="504"/>
              <w:rPr>
                <w:sz w:val="24"/>
                <w:szCs w:val="24"/>
                <w:lang w:val="cs-CZ"/>
              </w:rPr>
            </w:pPr>
            <w:r w:rsidRPr="725F14BC">
              <w:rPr>
                <w:sz w:val="24"/>
                <w:szCs w:val="24"/>
                <w:lang w:val="cs-CZ"/>
              </w:rPr>
              <w:t xml:space="preserve">Zadavatel </w:t>
            </w:r>
            <w:r>
              <w:rPr>
                <w:sz w:val="24"/>
                <w:szCs w:val="24"/>
                <w:lang w:val="cs-CZ"/>
              </w:rPr>
              <w:t>vyloučil účastníka</w:t>
            </w:r>
            <w:r w:rsidRPr="725F14BC">
              <w:rPr>
                <w:sz w:val="24"/>
                <w:szCs w:val="24"/>
                <w:lang w:val="cs-CZ"/>
              </w:rPr>
              <w:t xml:space="preserve"> z důvodu mimořádně</w:t>
            </w:r>
            <w:r w:rsidRPr="725F14BC">
              <w:rPr>
                <w:spacing w:val="-10"/>
                <w:sz w:val="24"/>
                <w:szCs w:val="24"/>
                <w:lang w:val="cs-CZ"/>
              </w:rPr>
              <w:t xml:space="preserve"> </w:t>
            </w:r>
            <w:r w:rsidRPr="725F14BC">
              <w:rPr>
                <w:sz w:val="24"/>
                <w:szCs w:val="24"/>
                <w:lang w:val="cs-CZ"/>
              </w:rPr>
              <w:t>nízké</w:t>
            </w:r>
          </w:p>
          <w:p w14:paraId="26401544" w14:textId="77777777" w:rsidR="00C14128" w:rsidRPr="005D14B7" w:rsidRDefault="00C14128" w:rsidP="0000617B">
            <w:pPr>
              <w:pStyle w:val="TableParagraph"/>
              <w:spacing w:line="290" w:lineRule="atLeast"/>
              <w:ind w:right="437"/>
              <w:rPr>
                <w:sz w:val="24"/>
                <w:szCs w:val="24"/>
                <w:lang w:val="cs-CZ"/>
              </w:rPr>
            </w:pPr>
            <w:r w:rsidRPr="725F14BC">
              <w:rPr>
                <w:sz w:val="24"/>
                <w:szCs w:val="24"/>
                <w:lang w:val="cs-CZ"/>
              </w:rPr>
              <w:t xml:space="preserve">nabídkové ceny bez vyzvání </w:t>
            </w:r>
            <w:r>
              <w:rPr>
                <w:sz w:val="24"/>
                <w:szCs w:val="24"/>
                <w:lang w:val="cs-CZ"/>
              </w:rPr>
              <w:t>účastníka</w:t>
            </w:r>
            <w:r w:rsidRPr="725F14BC">
              <w:rPr>
                <w:sz w:val="24"/>
                <w:szCs w:val="24"/>
                <w:lang w:val="cs-CZ"/>
              </w:rPr>
              <w:t xml:space="preserve"> k písemnému zdůvodnění</w:t>
            </w:r>
          </w:p>
        </w:tc>
        <w:tc>
          <w:tcPr>
            <w:tcW w:w="3118" w:type="dxa"/>
          </w:tcPr>
          <w:p w14:paraId="037C9943" w14:textId="77777777" w:rsidR="00C14128" w:rsidRPr="005D14B7" w:rsidRDefault="00C14128" w:rsidP="0000617B">
            <w:pPr>
              <w:pStyle w:val="TableParagraph"/>
              <w:spacing w:line="292" w:lineRule="exact"/>
              <w:ind w:left="105"/>
              <w:rPr>
                <w:sz w:val="24"/>
                <w:szCs w:val="24"/>
                <w:lang w:val="cs-CZ"/>
              </w:rPr>
            </w:pPr>
            <w:r w:rsidRPr="725F14BC">
              <w:rPr>
                <w:sz w:val="24"/>
                <w:szCs w:val="24"/>
                <w:lang w:val="cs-CZ"/>
              </w:rPr>
              <w:t>25 %</w:t>
            </w:r>
          </w:p>
        </w:tc>
      </w:tr>
      <w:tr w:rsidR="00C14128" w:rsidRPr="005D14B7" w14:paraId="19A95393" w14:textId="77777777" w:rsidTr="0000617B">
        <w:trPr>
          <w:trHeight w:val="2637"/>
        </w:trPr>
        <w:tc>
          <w:tcPr>
            <w:tcW w:w="710" w:type="dxa"/>
          </w:tcPr>
          <w:p w14:paraId="35F4EEB1" w14:textId="77777777" w:rsidR="00C14128" w:rsidRPr="005D14B7" w:rsidRDefault="00C14128" w:rsidP="0000617B">
            <w:pPr>
              <w:pStyle w:val="TableParagraph"/>
              <w:spacing w:line="292" w:lineRule="exact"/>
              <w:ind w:left="88" w:right="233"/>
              <w:jc w:val="center"/>
              <w:rPr>
                <w:sz w:val="24"/>
                <w:szCs w:val="24"/>
                <w:lang w:val="cs-CZ"/>
              </w:rPr>
            </w:pPr>
            <w:r w:rsidRPr="725F14BC">
              <w:rPr>
                <w:sz w:val="24"/>
                <w:szCs w:val="24"/>
                <w:lang w:val="cs-CZ"/>
              </w:rPr>
              <w:t>2</w:t>
            </w:r>
            <w:r>
              <w:rPr>
                <w:sz w:val="24"/>
                <w:szCs w:val="24"/>
                <w:lang w:val="cs-CZ"/>
              </w:rPr>
              <w:t>4</w:t>
            </w:r>
            <w:r w:rsidRPr="725F14BC">
              <w:rPr>
                <w:sz w:val="24"/>
                <w:szCs w:val="24"/>
                <w:lang w:val="cs-CZ"/>
              </w:rPr>
              <w:t>.</w:t>
            </w:r>
          </w:p>
        </w:tc>
        <w:tc>
          <w:tcPr>
            <w:tcW w:w="2551" w:type="dxa"/>
          </w:tcPr>
          <w:p w14:paraId="1075BBD8" w14:textId="77777777" w:rsidR="00C14128" w:rsidRPr="005D14B7" w:rsidRDefault="00C14128" w:rsidP="0000617B">
            <w:pPr>
              <w:pStyle w:val="TableParagraph"/>
              <w:spacing w:line="292" w:lineRule="exact"/>
              <w:rPr>
                <w:sz w:val="24"/>
                <w:szCs w:val="24"/>
                <w:lang w:val="cs-CZ"/>
              </w:rPr>
            </w:pPr>
            <w:r w:rsidRPr="725F14BC">
              <w:rPr>
                <w:sz w:val="24"/>
                <w:szCs w:val="24"/>
                <w:lang w:val="cs-CZ"/>
              </w:rPr>
              <w:t>Střet zájmů</w:t>
            </w:r>
          </w:p>
        </w:tc>
        <w:tc>
          <w:tcPr>
            <w:tcW w:w="3261" w:type="dxa"/>
          </w:tcPr>
          <w:p w14:paraId="0FB40226" w14:textId="77777777" w:rsidR="00C14128" w:rsidRPr="005D14B7" w:rsidRDefault="00C14128" w:rsidP="0000617B">
            <w:pPr>
              <w:pStyle w:val="TableParagraph"/>
              <w:ind w:right="158"/>
              <w:rPr>
                <w:sz w:val="24"/>
                <w:szCs w:val="24"/>
                <w:lang w:val="cs-CZ"/>
              </w:rPr>
            </w:pPr>
            <w:r w:rsidRPr="725F14BC">
              <w:rPr>
                <w:sz w:val="24"/>
                <w:szCs w:val="24"/>
                <w:lang w:val="cs-CZ"/>
              </w:rPr>
              <w:t>Příslušný soud nebo jiný orgán pravomocně rozhodl, že při zadávání veřejné zakázky došlo ke střetu zájmů, včetně případů, kdy příslušný soud pravomocně rozhodl, že byl při zadávání veřejné zakázky</w:t>
            </w:r>
          </w:p>
          <w:p w14:paraId="07C31385" w14:textId="77777777" w:rsidR="00C14128" w:rsidRPr="005D14B7" w:rsidRDefault="00C14128" w:rsidP="0000617B">
            <w:pPr>
              <w:pStyle w:val="TableParagraph"/>
              <w:spacing w:line="273" w:lineRule="exact"/>
              <w:rPr>
                <w:sz w:val="24"/>
                <w:szCs w:val="24"/>
                <w:lang w:val="cs-CZ"/>
              </w:rPr>
            </w:pPr>
            <w:r w:rsidRPr="725F14BC">
              <w:rPr>
                <w:sz w:val="24"/>
                <w:szCs w:val="24"/>
                <w:lang w:val="cs-CZ"/>
              </w:rPr>
              <w:t>spáchán trestný čin</w:t>
            </w:r>
          </w:p>
        </w:tc>
        <w:tc>
          <w:tcPr>
            <w:tcW w:w="3118" w:type="dxa"/>
          </w:tcPr>
          <w:p w14:paraId="61D09321" w14:textId="77777777" w:rsidR="00C14128" w:rsidRPr="005D14B7" w:rsidRDefault="00C14128" w:rsidP="0000617B">
            <w:pPr>
              <w:pStyle w:val="TableParagraph"/>
              <w:spacing w:line="292" w:lineRule="exact"/>
              <w:ind w:left="105"/>
              <w:rPr>
                <w:sz w:val="24"/>
                <w:szCs w:val="24"/>
                <w:lang w:val="cs-CZ"/>
              </w:rPr>
            </w:pPr>
            <w:r w:rsidRPr="725F14BC">
              <w:rPr>
                <w:sz w:val="24"/>
                <w:szCs w:val="24"/>
                <w:lang w:val="cs-CZ"/>
              </w:rPr>
              <w:t>100 %</w:t>
            </w:r>
          </w:p>
        </w:tc>
      </w:tr>
      <w:tr w:rsidR="00C14128" w:rsidRPr="005D14B7" w14:paraId="19354273" w14:textId="77777777" w:rsidTr="0000617B">
        <w:trPr>
          <w:trHeight w:val="460"/>
        </w:trPr>
        <w:tc>
          <w:tcPr>
            <w:tcW w:w="710" w:type="dxa"/>
            <w:vMerge w:val="restart"/>
          </w:tcPr>
          <w:p w14:paraId="0FF7E82D" w14:textId="77777777" w:rsidR="00C14128" w:rsidRPr="005D14B7" w:rsidRDefault="00C14128" w:rsidP="0000617B">
            <w:pPr>
              <w:pStyle w:val="TableParagraph"/>
              <w:spacing w:line="292" w:lineRule="exact"/>
              <w:ind w:left="107"/>
              <w:rPr>
                <w:sz w:val="24"/>
                <w:szCs w:val="24"/>
                <w:lang w:val="cs-CZ"/>
              </w:rPr>
            </w:pPr>
            <w:r w:rsidRPr="725F14BC">
              <w:rPr>
                <w:sz w:val="24"/>
                <w:szCs w:val="24"/>
                <w:lang w:val="cs-CZ"/>
              </w:rPr>
              <w:t>2</w:t>
            </w:r>
            <w:r>
              <w:rPr>
                <w:sz w:val="24"/>
                <w:szCs w:val="24"/>
                <w:lang w:val="cs-CZ"/>
              </w:rPr>
              <w:t>5</w:t>
            </w:r>
            <w:r w:rsidRPr="725F14BC">
              <w:rPr>
                <w:sz w:val="24"/>
                <w:szCs w:val="24"/>
                <w:lang w:val="cs-CZ"/>
              </w:rPr>
              <w:t>.</w:t>
            </w:r>
          </w:p>
        </w:tc>
        <w:tc>
          <w:tcPr>
            <w:tcW w:w="2551" w:type="dxa"/>
            <w:vMerge w:val="restart"/>
          </w:tcPr>
          <w:p w14:paraId="3492BB8C" w14:textId="77777777" w:rsidR="00C14128" w:rsidRPr="005D14B7" w:rsidRDefault="00C14128" w:rsidP="0000617B">
            <w:pPr>
              <w:pStyle w:val="TableParagraph"/>
              <w:ind w:right="408"/>
              <w:rPr>
                <w:sz w:val="24"/>
                <w:szCs w:val="24"/>
                <w:lang w:val="cs-CZ"/>
              </w:rPr>
            </w:pPr>
            <w:r w:rsidRPr="725F14BC">
              <w:rPr>
                <w:sz w:val="24"/>
                <w:szCs w:val="24"/>
                <w:lang w:val="cs-CZ"/>
              </w:rPr>
              <w:t xml:space="preserve">Zvýhodnění určitého </w:t>
            </w:r>
            <w:r>
              <w:rPr>
                <w:sz w:val="24"/>
                <w:szCs w:val="24"/>
                <w:lang w:val="cs-CZ"/>
              </w:rPr>
              <w:t>účastníka</w:t>
            </w:r>
          </w:p>
        </w:tc>
        <w:tc>
          <w:tcPr>
            <w:tcW w:w="3261" w:type="dxa"/>
            <w:vMerge w:val="restart"/>
          </w:tcPr>
          <w:p w14:paraId="7C31C259" w14:textId="65519EDA" w:rsidR="00C14128" w:rsidRPr="005D14B7" w:rsidRDefault="00C14128" w:rsidP="0000617B">
            <w:pPr>
              <w:pStyle w:val="TableParagraph"/>
              <w:ind w:right="185"/>
              <w:rPr>
                <w:sz w:val="24"/>
                <w:szCs w:val="24"/>
                <w:lang w:val="cs-CZ"/>
              </w:rPr>
            </w:pPr>
            <w:r w:rsidRPr="725F14BC">
              <w:rPr>
                <w:sz w:val="24"/>
                <w:szCs w:val="24"/>
                <w:lang w:val="cs-CZ"/>
              </w:rPr>
              <w:t>Zadavatel v průběhu lhůty pro podání nabídek nebo žádosti pro účast nebo při jednání s</w:t>
            </w:r>
            <w:r>
              <w:rPr>
                <w:sz w:val="24"/>
                <w:szCs w:val="24"/>
                <w:lang w:val="cs-CZ"/>
              </w:rPr>
              <w:t xml:space="preserve"> účastníky </w:t>
            </w:r>
            <w:r w:rsidRPr="725F14BC">
              <w:rPr>
                <w:sz w:val="24"/>
                <w:szCs w:val="24"/>
                <w:lang w:val="cs-CZ"/>
              </w:rPr>
              <w:t xml:space="preserve">poskytl některému </w:t>
            </w:r>
            <w:r>
              <w:rPr>
                <w:sz w:val="24"/>
                <w:szCs w:val="24"/>
                <w:lang w:val="cs-CZ"/>
              </w:rPr>
              <w:t xml:space="preserve">účastníkovi </w:t>
            </w:r>
            <w:r w:rsidRPr="725F14BC">
              <w:rPr>
                <w:sz w:val="24"/>
                <w:szCs w:val="24"/>
                <w:lang w:val="cs-CZ"/>
              </w:rPr>
              <w:t xml:space="preserve">nebo některým </w:t>
            </w:r>
            <w:r>
              <w:rPr>
                <w:sz w:val="24"/>
                <w:szCs w:val="24"/>
                <w:lang w:val="cs-CZ"/>
              </w:rPr>
              <w:t>účastníkům</w:t>
            </w:r>
            <w:r w:rsidRPr="725F14BC">
              <w:rPr>
                <w:sz w:val="24"/>
                <w:szCs w:val="24"/>
                <w:lang w:val="cs-CZ"/>
              </w:rPr>
              <w:t xml:space="preserve"> informace, které neposkytl ostatním </w:t>
            </w:r>
            <w:r>
              <w:rPr>
                <w:sz w:val="24"/>
                <w:szCs w:val="24"/>
                <w:lang w:val="cs-CZ"/>
              </w:rPr>
              <w:t>účastníkům</w:t>
            </w:r>
            <w:r w:rsidRPr="725F14BC">
              <w:rPr>
                <w:sz w:val="24"/>
                <w:szCs w:val="24"/>
                <w:lang w:val="cs-CZ"/>
              </w:rPr>
              <w:t xml:space="preserve">, nebo zvýhodnil některého </w:t>
            </w:r>
            <w:r>
              <w:rPr>
                <w:sz w:val="24"/>
                <w:szCs w:val="24"/>
                <w:lang w:val="cs-CZ"/>
              </w:rPr>
              <w:t xml:space="preserve">účastníka </w:t>
            </w:r>
            <w:r w:rsidRPr="725F14BC">
              <w:rPr>
                <w:sz w:val="24"/>
                <w:szCs w:val="24"/>
                <w:lang w:val="cs-CZ"/>
              </w:rPr>
              <w:t xml:space="preserve">nebo některé </w:t>
            </w:r>
            <w:r>
              <w:rPr>
                <w:sz w:val="24"/>
                <w:szCs w:val="24"/>
                <w:lang w:val="cs-CZ"/>
              </w:rPr>
              <w:t>účastníky</w:t>
            </w:r>
            <w:r w:rsidR="00D93332">
              <w:rPr>
                <w:sz w:val="24"/>
                <w:szCs w:val="24"/>
                <w:lang w:val="cs-CZ"/>
              </w:rPr>
              <w:t xml:space="preserve"> </w:t>
            </w:r>
            <w:r w:rsidRPr="725F14BC">
              <w:rPr>
                <w:sz w:val="24"/>
                <w:szCs w:val="24"/>
                <w:lang w:val="cs-CZ"/>
              </w:rPr>
              <w:t>jiným než výše uvedeným způsobem, přičemž tento postup měl</w:t>
            </w:r>
          </w:p>
          <w:p w14:paraId="1BF9BE08" w14:textId="77777777" w:rsidR="00C14128" w:rsidRPr="005D14B7" w:rsidRDefault="00C14128" w:rsidP="0000617B">
            <w:pPr>
              <w:pStyle w:val="TableParagraph"/>
              <w:spacing w:line="290" w:lineRule="atLeast"/>
              <w:ind w:right="413"/>
              <w:rPr>
                <w:sz w:val="24"/>
                <w:szCs w:val="24"/>
                <w:lang w:val="cs-CZ"/>
              </w:rPr>
            </w:pPr>
            <w:r w:rsidRPr="725F14BC">
              <w:rPr>
                <w:sz w:val="24"/>
                <w:szCs w:val="24"/>
                <w:lang w:val="cs-CZ"/>
              </w:rPr>
              <w:t xml:space="preserve">nebo mohl mít vliv na výběr </w:t>
            </w:r>
            <w:r>
              <w:rPr>
                <w:sz w:val="24"/>
                <w:szCs w:val="24"/>
                <w:lang w:val="cs-CZ"/>
              </w:rPr>
              <w:t>dodavatele</w:t>
            </w:r>
          </w:p>
        </w:tc>
        <w:tc>
          <w:tcPr>
            <w:tcW w:w="3118" w:type="dxa"/>
          </w:tcPr>
          <w:p w14:paraId="56FBE962" w14:textId="77777777" w:rsidR="00C14128" w:rsidRPr="005D14B7" w:rsidRDefault="00C14128" w:rsidP="0000617B">
            <w:pPr>
              <w:pStyle w:val="TableParagraph"/>
              <w:spacing w:line="292" w:lineRule="exact"/>
              <w:ind w:left="105"/>
              <w:rPr>
                <w:sz w:val="24"/>
                <w:szCs w:val="24"/>
                <w:lang w:val="cs-CZ"/>
              </w:rPr>
            </w:pPr>
            <w:r w:rsidRPr="725F14BC">
              <w:rPr>
                <w:sz w:val="24"/>
                <w:szCs w:val="24"/>
                <w:lang w:val="cs-CZ"/>
              </w:rPr>
              <w:t>25 %</w:t>
            </w:r>
          </w:p>
        </w:tc>
      </w:tr>
      <w:tr w:rsidR="00C14128" w:rsidRPr="005D14B7" w14:paraId="0628B7A4" w14:textId="77777777" w:rsidTr="0000617B">
        <w:trPr>
          <w:trHeight w:val="3630"/>
        </w:trPr>
        <w:tc>
          <w:tcPr>
            <w:tcW w:w="710" w:type="dxa"/>
            <w:vMerge/>
            <w:tcBorders>
              <w:top w:val="nil"/>
            </w:tcBorders>
          </w:tcPr>
          <w:p w14:paraId="2B42F432" w14:textId="77777777" w:rsidR="00C14128" w:rsidRPr="005D14B7" w:rsidRDefault="00C14128" w:rsidP="0000617B">
            <w:pPr>
              <w:rPr>
                <w:sz w:val="2"/>
                <w:szCs w:val="2"/>
                <w:lang w:val="cs-CZ"/>
              </w:rPr>
            </w:pPr>
          </w:p>
        </w:tc>
        <w:tc>
          <w:tcPr>
            <w:tcW w:w="2551" w:type="dxa"/>
            <w:vMerge/>
            <w:tcBorders>
              <w:top w:val="nil"/>
            </w:tcBorders>
          </w:tcPr>
          <w:p w14:paraId="429EE167" w14:textId="77777777" w:rsidR="00C14128" w:rsidRPr="005D14B7" w:rsidRDefault="00C14128" w:rsidP="0000617B">
            <w:pPr>
              <w:rPr>
                <w:sz w:val="2"/>
                <w:szCs w:val="2"/>
                <w:lang w:val="cs-CZ"/>
              </w:rPr>
            </w:pPr>
          </w:p>
        </w:tc>
        <w:tc>
          <w:tcPr>
            <w:tcW w:w="3261" w:type="dxa"/>
            <w:vMerge/>
            <w:tcBorders>
              <w:top w:val="nil"/>
            </w:tcBorders>
          </w:tcPr>
          <w:p w14:paraId="643A11F2" w14:textId="77777777" w:rsidR="00C14128" w:rsidRPr="005D14B7" w:rsidRDefault="00C14128" w:rsidP="0000617B">
            <w:pPr>
              <w:rPr>
                <w:sz w:val="2"/>
                <w:szCs w:val="2"/>
                <w:lang w:val="cs-CZ"/>
              </w:rPr>
            </w:pPr>
          </w:p>
        </w:tc>
        <w:tc>
          <w:tcPr>
            <w:tcW w:w="3118" w:type="dxa"/>
          </w:tcPr>
          <w:p w14:paraId="22CF4F7A" w14:textId="77777777" w:rsidR="00C14128" w:rsidRPr="004F110D" w:rsidRDefault="00C14128" w:rsidP="0000617B">
            <w:pPr>
              <w:pStyle w:val="TableParagraph"/>
              <w:ind w:left="105" w:right="503"/>
              <w:rPr>
                <w:sz w:val="24"/>
                <w:szCs w:val="24"/>
                <w:lang w:val="cs-CZ"/>
              </w:rPr>
            </w:pPr>
            <w:r w:rsidRPr="725F14BC">
              <w:rPr>
                <w:sz w:val="24"/>
                <w:szCs w:val="24"/>
                <w:lang w:val="cs-CZ"/>
              </w:rPr>
              <w:t>5-10 % v méně závažných případech</w:t>
            </w:r>
          </w:p>
        </w:tc>
      </w:tr>
    </w:tbl>
    <w:p w14:paraId="6319CA85" w14:textId="77777777" w:rsidR="00C14128" w:rsidRPr="00C14128" w:rsidRDefault="00C14128" w:rsidP="00C14128">
      <w:pPr>
        <w:ind w:left="-426"/>
        <w:rPr>
          <w:rFonts w:asciiTheme="minorHAnsi" w:hAnsiTheme="minorHAnsi" w:cstheme="minorBidi"/>
          <w:color w:val="4F81BD" w:themeColor="accent1"/>
          <w:sz w:val="22"/>
          <w:u w:val="single"/>
        </w:rPr>
      </w:pPr>
    </w:p>
    <w:p w14:paraId="6F7B3624" w14:textId="77777777" w:rsidR="00C14128" w:rsidRPr="00C14128" w:rsidRDefault="00C14128" w:rsidP="00C14128">
      <w:pPr>
        <w:ind w:left="-426"/>
        <w:rPr>
          <w:rFonts w:asciiTheme="minorHAnsi" w:hAnsiTheme="minorHAnsi" w:cstheme="minorBidi"/>
          <w:color w:val="4F81BD" w:themeColor="accent1"/>
          <w:sz w:val="22"/>
          <w:u w:val="single"/>
        </w:rPr>
      </w:pPr>
    </w:p>
    <w:p w14:paraId="64D8FD82" w14:textId="1B5621AE" w:rsidR="00C14128" w:rsidRDefault="00C14128" w:rsidP="00C14128">
      <w:pPr>
        <w:ind w:left="-426"/>
        <w:rPr>
          <w:rFonts w:asciiTheme="minorHAnsi" w:hAnsiTheme="minorHAnsi" w:cstheme="minorBidi"/>
          <w:color w:val="4F81BD" w:themeColor="accent1"/>
          <w:sz w:val="22"/>
          <w:u w:val="single"/>
        </w:rPr>
      </w:pPr>
    </w:p>
    <w:p w14:paraId="5256E315" w14:textId="657CD3F9" w:rsidR="00C14128" w:rsidRDefault="00C14128" w:rsidP="00C14128">
      <w:pPr>
        <w:ind w:left="-426"/>
        <w:rPr>
          <w:rFonts w:asciiTheme="minorHAnsi" w:hAnsiTheme="minorHAnsi" w:cstheme="minorBidi"/>
          <w:color w:val="4F81BD" w:themeColor="accent1"/>
          <w:sz w:val="22"/>
          <w:u w:val="single"/>
        </w:rPr>
      </w:pPr>
    </w:p>
    <w:p w14:paraId="00DCF664" w14:textId="1DE37F0E" w:rsidR="00C14128" w:rsidRDefault="00C14128" w:rsidP="00C14128">
      <w:pPr>
        <w:ind w:left="-426"/>
        <w:rPr>
          <w:rFonts w:asciiTheme="minorHAnsi" w:hAnsiTheme="minorHAnsi" w:cstheme="minorBidi"/>
          <w:color w:val="4F81BD" w:themeColor="accent1"/>
          <w:sz w:val="22"/>
          <w:u w:val="single"/>
        </w:rPr>
      </w:pPr>
    </w:p>
    <w:p w14:paraId="3B8E0824" w14:textId="72C44D68" w:rsidR="0000617B" w:rsidRDefault="0000617B" w:rsidP="00C14128">
      <w:pPr>
        <w:ind w:left="-426"/>
        <w:rPr>
          <w:rFonts w:asciiTheme="minorHAnsi" w:hAnsiTheme="minorHAnsi" w:cstheme="minorBidi"/>
          <w:color w:val="4F81BD" w:themeColor="accent1"/>
          <w:sz w:val="22"/>
          <w:u w:val="single"/>
        </w:rPr>
      </w:pPr>
    </w:p>
    <w:p w14:paraId="6FDA86BD" w14:textId="77777777" w:rsidR="0000617B" w:rsidRDefault="0000617B" w:rsidP="00C14128">
      <w:pPr>
        <w:ind w:left="-426"/>
        <w:rPr>
          <w:rFonts w:asciiTheme="minorHAnsi" w:hAnsiTheme="minorHAnsi" w:cstheme="minorBidi"/>
          <w:color w:val="4F81BD" w:themeColor="accent1"/>
          <w:sz w:val="22"/>
          <w:u w:val="single"/>
        </w:rPr>
      </w:pPr>
    </w:p>
    <w:p w14:paraId="4633CDC0" w14:textId="72846CB8" w:rsidR="00C14128" w:rsidRDefault="00C14128" w:rsidP="00C14128">
      <w:pPr>
        <w:ind w:left="-426"/>
        <w:rPr>
          <w:rFonts w:asciiTheme="minorHAnsi" w:hAnsiTheme="minorHAnsi" w:cstheme="minorBidi"/>
          <w:color w:val="4F81BD" w:themeColor="accent1"/>
          <w:sz w:val="22"/>
          <w:u w:val="single"/>
        </w:rPr>
      </w:pPr>
    </w:p>
    <w:p w14:paraId="59B7BD8B" w14:textId="77777777" w:rsidR="00D53428" w:rsidRDefault="00D53428" w:rsidP="00D93332">
      <w:pPr>
        <w:rPr>
          <w:rFonts w:asciiTheme="minorHAnsi" w:hAnsiTheme="minorHAnsi" w:cstheme="minorBidi"/>
          <w:color w:val="4F81BD" w:themeColor="accent1"/>
          <w:u w:val="single"/>
        </w:rPr>
      </w:pPr>
    </w:p>
    <w:p w14:paraId="3EAC2141" w14:textId="2E38F264" w:rsidR="00C14128" w:rsidRPr="00C14128" w:rsidRDefault="00C14128" w:rsidP="00D93332">
      <w:pPr>
        <w:rPr>
          <w:rFonts w:ascii="Calibri" w:eastAsia="Calibri" w:hAnsi="Calibri" w:cs="Calibri"/>
          <w:b/>
          <w:bCs/>
          <w:sz w:val="23"/>
          <w:szCs w:val="23"/>
          <w:lang w:eastAsia="en-US"/>
        </w:rPr>
      </w:pPr>
      <w:r w:rsidRPr="5104966F">
        <w:rPr>
          <w:rFonts w:asciiTheme="minorHAnsi" w:hAnsiTheme="minorHAnsi" w:cstheme="minorBidi"/>
          <w:color w:val="4F81BD" w:themeColor="accent1"/>
          <w:u w:val="single"/>
        </w:rPr>
        <w:t>Provádění veřejné zakázky</w:t>
      </w:r>
    </w:p>
    <w:p w14:paraId="6C849E7E" w14:textId="77777777" w:rsidR="00C14128" w:rsidRPr="005D14B7" w:rsidRDefault="00C14128" w:rsidP="00C14128">
      <w:pPr>
        <w:pStyle w:val="Zkladntext"/>
        <w:spacing w:after="1"/>
        <w:rPr>
          <w:b/>
        </w:rPr>
      </w:pPr>
    </w:p>
    <w:tbl>
      <w:tblPr>
        <w:tblStyle w:val="NormalTable0"/>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551"/>
        <w:gridCol w:w="3261"/>
        <w:gridCol w:w="3118"/>
      </w:tblGrid>
      <w:tr w:rsidR="00C14128" w:rsidRPr="005D14B7" w14:paraId="717D99DB" w14:textId="77777777" w:rsidTr="00D93332">
        <w:trPr>
          <w:trHeight w:val="292"/>
        </w:trPr>
        <w:tc>
          <w:tcPr>
            <w:tcW w:w="710" w:type="dxa"/>
          </w:tcPr>
          <w:p w14:paraId="36C1267C" w14:textId="77777777" w:rsidR="00C14128" w:rsidRPr="005D14B7" w:rsidRDefault="00C14128" w:rsidP="000F2BAC">
            <w:pPr>
              <w:pStyle w:val="TableParagraph"/>
              <w:spacing w:line="272" w:lineRule="exact"/>
              <w:ind w:left="88" w:right="143"/>
              <w:jc w:val="center"/>
              <w:rPr>
                <w:b/>
                <w:bCs/>
                <w:sz w:val="24"/>
                <w:szCs w:val="24"/>
                <w:lang w:val="cs-CZ"/>
              </w:rPr>
            </w:pPr>
            <w:r w:rsidRPr="725F14BC">
              <w:rPr>
                <w:b/>
                <w:bCs/>
                <w:sz w:val="24"/>
                <w:szCs w:val="24"/>
                <w:lang w:val="cs-CZ"/>
              </w:rPr>
              <w:t>Bod</w:t>
            </w:r>
          </w:p>
        </w:tc>
        <w:tc>
          <w:tcPr>
            <w:tcW w:w="2551" w:type="dxa"/>
          </w:tcPr>
          <w:p w14:paraId="2AEE2D4D" w14:textId="77777777" w:rsidR="00C14128" w:rsidRPr="005D14B7" w:rsidRDefault="00C14128" w:rsidP="000F2BAC">
            <w:pPr>
              <w:pStyle w:val="TableParagraph"/>
              <w:spacing w:line="272" w:lineRule="exact"/>
              <w:rPr>
                <w:b/>
                <w:bCs/>
                <w:sz w:val="24"/>
                <w:szCs w:val="24"/>
                <w:lang w:val="cs-CZ"/>
              </w:rPr>
            </w:pPr>
            <w:r w:rsidRPr="725F14BC">
              <w:rPr>
                <w:b/>
                <w:bCs/>
                <w:sz w:val="24"/>
                <w:szCs w:val="24"/>
                <w:lang w:val="cs-CZ"/>
              </w:rPr>
              <w:t>Typ porušení</w:t>
            </w:r>
          </w:p>
        </w:tc>
        <w:tc>
          <w:tcPr>
            <w:tcW w:w="3261" w:type="dxa"/>
          </w:tcPr>
          <w:p w14:paraId="0E4CBD0A" w14:textId="77777777" w:rsidR="00C14128" w:rsidRPr="005D14B7" w:rsidRDefault="00C14128" w:rsidP="000F2BAC">
            <w:pPr>
              <w:pStyle w:val="TableParagraph"/>
              <w:spacing w:line="272" w:lineRule="exact"/>
              <w:rPr>
                <w:b/>
                <w:bCs/>
                <w:sz w:val="24"/>
                <w:szCs w:val="24"/>
                <w:lang w:val="cs-CZ"/>
              </w:rPr>
            </w:pPr>
            <w:r w:rsidRPr="725F14BC">
              <w:rPr>
                <w:b/>
                <w:bCs/>
                <w:sz w:val="24"/>
                <w:szCs w:val="24"/>
                <w:lang w:val="cs-CZ"/>
              </w:rPr>
              <w:t>Popis pochybení</w:t>
            </w:r>
          </w:p>
        </w:tc>
        <w:tc>
          <w:tcPr>
            <w:tcW w:w="3118" w:type="dxa"/>
          </w:tcPr>
          <w:p w14:paraId="30FCE8D9" w14:textId="77777777" w:rsidR="00C14128" w:rsidRPr="005D14B7" w:rsidRDefault="00C14128" w:rsidP="000F2BAC">
            <w:pPr>
              <w:pStyle w:val="TableParagraph"/>
              <w:spacing w:line="272" w:lineRule="exact"/>
              <w:ind w:left="105"/>
              <w:rPr>
                <w:b/>
                <w:bCs/>
                <w:sz w:val="24"/>
                <w:szCs w:val="24"/>
                <w:lang w:val="cs-CZ"/>
              </w:rPr>
            </w:pPr>
            <w:r w:rsidRPr="725F14BC">
              <w:rPr>
                <w:b/>
                <w:bCs/>
                <w:sz w:val="24"/>
                <w:szCs w:val="24"/>
                <w:lang w:val="cs-CZ"/>
              </w:rPr>
              <w:t>Sazba sníženého odvodu</w:t>
            </w:r>
          </w:p>
        </w:tc>
      </w:tr>
      <w:tr w:rsidR="00C14128" w:rsidRPr="005D14B7" w14:paraId="52F69BF1" w14:textId="77777777" w:rsidTr="00D93332">
        <w:trPr>
          <w:trHeight w:val="1172"/>
        </w:trPr>
        <w:tc>
          <w:tcPr>
            <w:tcW w:w="710" w:type="dxa"/>
          </w:tcPr>
          <w:p w14:paraId="7A845C45" w14:textId="77777777" w:rsidR="00C14128" w:rsidRPr="005D14B7" w:rsidRDefault="00C14128" w:rsidP="000F2BAC">
            <w:pPr>
              <w:pStyle w:val="TableParagraph"/>
              <w:ind w:left="88" w:right="233"/>
              <w:jc w:val="center"/>
              <w:rPr>
                <w:sz w:val="24"/>
                <w:szCs w:val="24"/>
                <w:lang w:val="cs-CZ"/>
              </w:rPr>
            </w:pPr>
            <w:r w:rsidRPr="725F14BC">
              <w:rPr>
                <w:sz w:val="24"/>
                <w:szCs w:val="24"/>
                <w:lang w:val="cs-CZ"/>
              </w:rPr>
              <w:t>2</w:t>
            </w:r>
            <w:r>
              <w:rPr>
                <w:sz w:val="24"/>
                <w:szCs w:val="24"/>
                <w:lang w:val="cs-CZ"/>
              </w:rPr>
              <w:t>6</w:t>
            </w:r>
            <w:r w:rsidRPr="725F14BC">
              <w:rPr>
                <w:sz w:val="24"/>
                <w:szCs w:val="24"/>
                <w:lang w:val="cs-CZ"/>
              </w:rPr>
              <w:t>.</w:t>
            </w:r>
          </w:p>
        </w:tc>
        <w:tc>
          <w:tcPr>
            <w:tcW w:w="2551" w:type="dxa"/>
          </w:tcPr>
          <w:p w14:paraId="42D4AAB1" w14:textId="77777777" w:rsidR="00C14128" w:rsidRPr="005D14B7" w:rsidRDefault="00C14128" w:rsidP="000F2BAC">
            <w:pPr>
              <w:pStyle w:val="TableParagraph"/>
              <w:rPr>
                <w:sz w:val="24"/>
                <w:szCs w:val="24"/>
                <w:lang w:val="cs-CZ"/>
              </w:rPr>
            </w:pPr>
            <w:r w:rsidRPr="725F14BC">
              <w:rPr>
                <w:sz w:val="24"/>
                <w:szCs w:val="24"/>
                <w:lang w:val="cs-CZ"/>
              </w:rPr>
              <w:t>Uzavření smlouvy</w:t>
            </w:r>
          </w:p>
          <w:p w14:paraId="73A52A3B" w14:textId="77777777" w:rsidR="00C14128" w:rsidRPr="005D14B7" w:rsidRDefault="00C14128" w:rsidP="000F2BAC">
            <w:pPr>
              <w:pStyle w:val="TableParagraph"/>
              <w:ind w:right="136"/>
              <w:rPr>
                <w:sz w:val="24"/>
                <w:szCs w:val="24"/>
                <w:lang w:val="cs-CZ"/>
              </w:rPr>
            </w:pPr>
            <w:r w:rsidRPr="725F14BC">
              <w:rPr>
                <w:sz w:val="24"/>
                <w:szCs w:val="24"/>
                <w:lang w:val="cs-CZ"/>
              </w:rPr>
              <w:t xml:space="preserve">s </w:t>
            </w:r>
            <w:r>
              <w:rPr>
                <w:sz w:val="24"/>
                <w:szCs w:val="24"/>
                <w:lang w:val="cs-CZ"/>
              </w:rPr>
              <w:t>účastníkem</w:t>
            </w:r>
            <w:r w:rsidRPr="725F14BC">
              <w:rPr>
                <w:sz w:val="24"/>
                <w:szCs w:val="24"/>
                <w:lang w:val="cs-CZ"/>
              </w:rPr>
              <w:t>, který měl být vyloučen</w:t>
            </w:r>
          </w:p>
        </w:tc>
        <w:tc>
          <w:tcPr>
            <w:tcW w:w="3261" w:type="dxa"/>
          </w:tcPr>
          <w:p w14:paraId="225202C9" w14:textId="77777777" w:rsidR="00C14128" w:rsidRPr="005D14B7" w:rsidRDefault="00C14128" w:rsidP="000F2BAC">
            <w:pPr>
              <w:pStyle w:val="TableParagraph"/>
              <w:ind w:right="492"/>
              <w:jc w:val="both"/>
              <w:rPr>
                <w:sz w:val="24"/>
                <w:szCs w:val="24"/>
                <w:lang w:val="cs-CZ"/>
              </w:rPr>
            </w:pPr>
            <w:r w:rsidRPr="725F14BC">
              <w:rPr>
                <w:sz w:val="24"/>
                <w:szCs w:val="24"/>
                <w:lang w:val="cs-CZ"/>
              </w:rPr>
              <w:t xml:space="preserve">Zadavatel uzavřel smlouvu s </w:t>
            </w:r>
            <w:r>
              <w:rPr>
                <w:sz w:val="24"/>
                <w:szCs w:val="24"/>
                <w:lang w:val="cs-CZ"/>
              </w:rPr>
              <w:t>účastníkem</w:t>
            </w:r>
            <w:r w:rsidRPr="725F14BC">
              <w:rPr>
                <w:sz w:val="24"/>
                <w:szCs w:val="24"/>
                <w:lang w:val="cs-CZ"/>
              </w:rPr>
              <w:t>, který měl být vyloučen ze</w:t>
            </w:r>
            <w:r>
              <w:rPr>
                <w:sz w:val="24"/>
                <w:szCs w:val="24"/>
                <w:lang w:val="cs-CZ"/>
              </w:rPr>
              <w:t xml:space="preserve"> </w:t>
            </w:r>
            <w:r w:rsidRPr="725F14BC">
              <w:rPr>
                <w:sz w:val="24"/>
                <w:szCs w:val="24"/>
                <w:lang w:val="cs-CZ"/>
              </w:rPr>
              <w:t>zadávacího/výběrového řízení</w:t>
            </w:r>
          </w:p>
        </w:tc>
        <w:tc>
          <w:tcPr>
            <w:tcW w:w="3118" w:type="dxa"/>
          </w:tcPr>
          <w:p w14:paraId="3F419B7B" w14:textId="77777777" w:rsidR="00C14128" w:rsidRPr="005D14B7" w:rsidRDefault="00C14128" w:rsidP="000F2BAC">
            <w:pPr>
              <w:pStyle w:val="TableParagraph"/>
              <w:ind w:left="105"/>
              <w:rPr>
                <w:sz w:val="24"/>
                <w:szCs w:val="24"/>
                <w:lang w:val="cs-CZ"/>
              </w:rPr>
            </w:pPr>
            <w:r w:rsidRPr="725F14BC">
              <w:rPr>
                <w:sz w:val="24"/>
                <w:szCs w:val="24"/>
                <w:lang w:val="cs-CZ"/>
              </w:rPr>
              <w:t>25–50 %</w:t>
            </w:r>
          </w:p>
        </w:tc>
      </w:tr>
      <w:tr w:rsidR="00C14128" w:rsidRPr="005D14B7" w14:paraId="2FF815D9" w14:textId="77777777" w:rsidTr="00D93332">
        <w:trPr>
          <w:trHeight w:val="293"/>
        </w:trPr>
        <w:tc>
          <w:tcPr>
            <w:tcW w:w="710" w:type="dxa"/>
          </w:tcPr>
          <w:p w14:paraId="59C959B8" w14:textId="77777777" w:rsidR="00C14128" w:rsidRPr="005D14B7" w:rsidRDefault="00C14128" w:rsidP="000F2BAC">
            <w:pPr>
              <w:pStyle w:val="TableParagraph"/>
              <w:spacing w:line="273" w:lineRule="exact"/>
              <w:ind w:left="88" w:right="233"/>
              <w:jc w:val="center"/>
              <w:rPr>
                <w:sz w:val="24"/>
                <w:szCs w:val="24"/>
                <w:lang w:val="cs-CZ"/>
              </w:rPr>
            </w:pPr>
            <w:r>
              <w:rPr>
                <w:sz w:val="24"/>
                <w:szCs w:val="24"/>
                <w:lang w:val="cs-CZ"/>
              </w:rPr>
              <w:t>27</w:t>
            </w:r>
            <w:r w:rsidRPr="725F14BC">
              <w:rPr>
                <w:sz w:val="24"/>
                <w:szCs w:val="24"/>
                <w:lang w:val="cs-CZ"/>
              </w:rPr>
              <w:t>.</w:t>
            </w:r>
          </w:p>
        </w:tc>
        <w:tc>
          <w:tcPr>
            <w:tcW w:w="2551" w:type="dxa"/>
          </w:tcPr>
          <w:p w14:paraId="1C83DAA3" w14:textId="77777777" w:rsidR="00C14128" w:rsidRPr="005D14B7" w:rsidRDefault="00C14128" w:rsidP="000F2BAC">
            <w:pPr>
              <w:pStyle w:val="TableParagraph"/>
              <w:spacing w:line="273" w:lineRule="exact"/>
              <w:rPr>
                <w:sz w:val="24"/>
                <w:szCs w:val="24"/>
                <w:lang w:val="cs-CZ"/>
              </w:rPr>
            </w:pPr>
            <w:r w:rsidRPr="725F14BC">
              <w:rPr>
                <w:sz w:val="24"/>
                <w:szCs w:val="24"/>
                <w:lang w:val="cs-CZ"/>
              </w:rPr>
              <w:t>Podstatná změna</w:t>
            </w:r>
          </w:p>
          <w:p w14:paraId="09675D2F" w14:textId="77777777" w:rsidR="00C14128" w:rsidRPr="005D14B7" w:rsidRDefault="00C14128" w:rsidP="000F2BAC">
            <w:pPr>
              <w:pStyle w:val="TableParagraph"/>
              <w:spacing w:line="273" w:lineRule="exact"/>
              <w:rPr>
                <w:sz w:val="24"/>
                <w:szCs w:val="24"/>
                <w:lang w:val="cs-CZ"/>
              </w:rPr>
            </w:pPr>
            <w:r w:rsidRPr="725F14BC">
              <w:rPr>
                <w:sz w:val="24"/>
                <w:szCs w:val="24"/>
                <w:lang w:val="cs-CZ"/>
              </w:rPr>
              <w:t>závazku ze smlouvy</w:t>
            </w:r>
          </w:p>
          <w:p w14:paraId="5D6E8FDE" w14:textId="77777777" w:rsidR="00C14128" w:rsidRPr="005D14B7" w:rsidRDefault="00C14128" w:rsidP="000F2BAC">
            <w:pPr>
              <w:pStyle w:val="TableParagraph"/>
              <w:spacing w:line="273" w:lineRule="exact"/>
              <w:rPr>
                <w:sz w:val="24"/>
                <w:lang w:val="cs-CZ"/>
              </w:rPr>
            </w:pPr>
          </w:p>
          <w:p w14:paraId="75920F89" w14:textId="77777777" w:rsidR="00C14128" w:rsidRPr="005D14B7" w:rsidRDefault="00C14128" w:rsidP="000F2BAC">
            <w:pPr>
              <w:pStyle w:val="TableParagraph"/>
              <w:spacing w:line="273" w:lineRule="exact"/>
              <w:rPr>
                <w:sz w:val="24"/>
                <w:lang w:val="cs-CZ"/>
              </w:rPr>
            </w:pPr>
          </w:p>
        </w:tc>
        <w:tc>
          <w:tcPr>
            <w:tcW w:w="3261" w:type="dxa"/>
          </w:tcPr>
          <w:p w14:paraId="7F6AFD71" w14:textId="77777777" w:rsidR="00C14128" w:rsidRPr="005D14B7" w:rsidRDefault="00C14128" w:rsidP="000F2BAC">
            <w:pPr>
              <w:pStyle w:val="TableParagraph"/>
              <w:ind w:right="199"/>
              <w:rPr>
                <w:sz w:val="24"/>
                <w:szCs w:val="24"/>
                <w:lang w:val="cs-CZ"/>
              </w:rPr>
            </w:pPr>
            <w:r w:rsidRPr="725F14BC">
              <w:rPr>
                <w:sz w:val="24"/>
                <w:szCs w:val="24"/>
                <w:lang w:val="cs-CZ"/>
              </w:rPr>
              <w:t xml:space="preserve">Zadavatel provedl změnu závazku ze smlouvy </w:t>
            </w:r>
            <w:r>
              <w:rPr>
                <w:sz w:val="24"/>
                <w:szCs w:val="24"/>
                <w:lang w:val="cs-CZ"/>
              </w:rPr>
              <w:t> na veřejnou zakázku v rozporu s § 222 ZZVZ</w:t>
            </w:r>
          </w:p>
        </w:tc>
        <w:tc>
          <w:tcPr>
            <w:tcW w:w="3118" w:type="dxa"/>
          </w:tcPr>
          <w:p w14:paraId="134F307F" w14:textId="77777777" w:rsidR="00C14128" w:rsidRDefault="00C14128" w:rsidP="000F2BAC">
            <w:pPr>
              <w:pStyle w:val="TableParagraph"/>
              <w:spacing w:line="273" w:lineRule="exact"/>
              <w:ind w:left="105"/>
              <w:rPr>
                <w:sz w:val="24"/>
                <w:szCs w:val="24"/>
                <w:lang w:val="cs-CZ"/>
              </w:rPr>
            </w:pPr>
            <w:r w:rsidRPr="725F14BC">
              <w:rPr>
                <w:sz w:val="24"/>
                <w:szCs w:val="24"/>
                <w:lang w:val="cs-CZ"/>
              </w:rPr>
              <w:t>100 % částky použité na případné zvýšení ceny závazku</w:t>
            </w:r>
            <w:r w:rsidR="00DD0117">
              <w:rPr>
                <w:sz w:val="24"/>
                <w:szCs w:val="24"/>
                <w:lang w:val="cs-CZ"/>
              </w:rPr>
              <w:t>.</w:t>
            </w:r>
          </w:p>
          <w:p w14:paraId="14661464" w14:textId="14B1153C" w:rsidR="00DD0117" w:rsidRDefault="00DD0117" w:rsidP="000F2BAC">
            <w:pPr>
              <w:pStyle w:val="TableParagraph"/>
              <w:spacing w:line="273" w:lineRule="exact"/>
              <w:ind w:left="105"/>
              <w:rPr>
                <w:sz w:val="24"/>
                <w:szCs w:val="24"/>
                <w:lang w:val="cs-CZ"/>
              </w:rPr>
            </w:pPr>
            <w:r>
              <w:rPr>
                <w:sz w:val="24"/>
                <w:szCs w:val="24"/>
                <w:lang w:val="cs-CZ"/>
              </w:rPr>
              <w:t>25 % částky v případě jiné závažné podstatné změny závazku (např. změna ekonomické rovnováhy v neprospěch zadavatele, změna, která by mohla mít vliv na okruh účastníků atp.)</w:t>
            </w:r>
          </w:p>
          <w:p w14:paraId="4689CFDC" w14:textId="43721B29" w:rsidR="00DD0117" w:rsidRPr="005D14B7" w:rsidRDefault="00DD0117" w:rsidP="000F2BAC">
            <w:pPr>
              <w:pStyle w:val="TableParagraph"/>
              <w:spacing w:line="273" w:lineRule="exact"/>
              <w:ind w:left="105"/>
              <w:rPr>
                <w:sz w:val="24"/>
                <w:szCs w:val="24"/>
                <w:lang w:val="cs-CZ"/>
              </w:rPr>
            </w:pPr>
            <w:r w:rsidRPr="725F14BC">
              <w:rPr>
                <w:sz w:val="24"/>
                <w:szCs w:val="24"/>
                <w:lang w:val="cs-CZ"/>
              </w:rPr>
              <w:t>5-10 % v méně závažných případech</w:t>
            </w:r>
          </w:p>
        </w:tc>
      </w:tr>
      <w:tr w:rsidR="00C14128" w:rsidRPr="005D14B7" w14:paraId="5AB41281" w14:textId="77777777" w:rsidTr="00D93332">
        <w:trPr>
          <w:trHeight w:val="878"/>
        </w:trPr>
        <w:tc>
          <w:tcPr>
            <w:tcW w:w="710" w:type="dxa"/>
            <w:vMerge w:val="restart"/>
          </w:tcPr>
          <w:p w14:paraId="5B6AE106" w14:textId="77777777" w:rsidR="00C14128" w:rsidRPr="005D14B7" w:rsidRDefault="00C14128" w:rsidP="000F2BAC">
            <w:pPr>
              <w:pStyle w:val="TableParagraph"/>
              <w:spacing w:line="273" w:lineRule="exact"/>
              <w:ind w:left="88" w:right="233"/>
              <w:jc w:val="center"/>
              <w:rPr>
                <w:sz w:val="24"/>
                <w:szCs w:val="24"/>
                <w:lang w:val="cs-CZ"/>
              </w:rPr>
            </w:pPr>
            <w:r>
              <w:rPr>
                <w:sz w:val="24"/>
                <w:szCs w:val="24"/>
                <w:lang w:val="cs-CZ"/>
              </w:rPr>
              <w:t>28</w:t>
            </w:r>
            <w:r w:rsidRPr="725F14BC">
              <w:rPr>
                <w:sz w:val="24"/>
                <w:szCs w:val="24"/>
                <w:lang w:val="cs-CZ"/>
              </w:rPr>
              <w:t>.</w:t>
            </w:r>
          </w:p>
        </w:tc>
        <w:tc>
          <w:tcPr>
            <w:tcW w:w="2551" w:type="dxa"/>
            <w:vMerge w:val="restart"/>
          </w:tcPr>
          <w:p w14:paraId="2E47900D" w14:textId="77777777" w:rsidR="00C14128" w:rsidRPr="005D14B7" w:rsidRDefault="00C14128" w:rsidP="000F2BAC">
            <w:pPr>
              <w:pStyle w:val="TableParagraph"/>
              <w:spacing w:line="273" w:lineRule="exact"/>
              <w:rPr>
                <w:sz w:val="24"/>
                <w:szCs w:val="24"/>
                <w:lang w:val="cs-CZ"/>
              </w:rPr>
            </w:pPr>
            <w:r w:rsidRPr="725F14BC">
              <w:rPr>
                <w:sz w:val="24"/>
                <w:szCs w:val="24"/>
                <w:lang w:val="cs-CZ"/>
              </w:rPr>
              <w:t>Jiné porušení pravidel pro zadávání veřejných zakázek</w:t>
            </w:r>
          </w:p>
        </w:tc>
        <w:tc>
          <w:tcPr>
            <w:tcW w:w="3261" w:type="dxa"/>
            <w:vMerge w:val="restart"/>
          </w:tcPr>
          <w:p w14:paraId="0A6E19A5" w14:textId="77777777" w:rsidR="00C14128" w:rsidRPr="005D14B7" w:rsidRDefault="00C14128" w:rsidP="000F2BAC">
            <w:pPr>
              <w:pStyle w:val="TableParagraph"/>
              <w:ind w:right="277"/>
              <w:rPr>
                <w:sz w:val="24"/>
                <w:szCs w:val="24"/>
                <w:lang w:val="cs-CZ"/>
              </w:rPr>
            </w:pPr>
            <w:r w:rsidRPr="725F14BC">
              <w:rPr>
                <w:sz w:val="24"/>
                <w:szCs w:val="24"/>
                <w:lang w:val="cs-CZ"/>
              </w:rPr>
              <w:t>Zadavatel jiným způsobem porušil pravidla pro zadávání veřejných zakázek, jestliže takové porušení mělo či mohlo mít vliv na výběr</w:t>
            </w:r>
          </w:p>
          <w:p w14:paraId="3CDA7707" w14:textId="77777777" w:rsidR="00C14128" w:rsidRPr="005D14B7" w:rsidRDefault="00C14128" w:rsidP="000F2BAC">
            <w:pPr>
              <w:pStyle w:val="TableParagraph"/>
              <w:ind w:right="199"/>
              <w:rPr>
                <w:sz w:val="24"/>
                <w:szCs w:val="24"/>
                <w:lang w:val="cs-CZ"/>
              </w:rPr>
            </w:pPr>
            <w:r>
              <w:rPr>
                <w:sz w:val="24"/>
                <w:szCs w:val="24"/>
                <w:lang w:val="cs-CZ"/>
              </w:rPr>
              <w:t>dodavatele</w:t>
            </w:r>
          </w:p>
        </w:tc>
        <w:tc>
          <w:tcPr>
            <w:tcW w:w="3118" w:type="dxa"/>
          </w:tcPr>
          <w:p w14:paraId="24152834" w14:textId="77777777" w:rsidR="00C14128" w:rsidRPr="005D14B7" w:rsidRDefault="00C14128" w:rsidP="000F2BAC">
            <w:pPr>
              <w:pStyle w:val="TableParagraph"/>
              <w:spacing w:line="273" w:lineRule="exact"/>
              <w:ind w:left="105"/>
              <w:rPr>
                <w:sz w:val="24"/>
                <w:szCs w:val="24"/>
                <w:lang w:val="cs-CZ"/>
              </w:rPr>
            </w:pPr>
            <w:r w:rsidRPr="725F14BC">
              <w:rPr>
                <w:sz w:val="24"/>
                <w:szCs w:val="24"/>
                <w:lang w:val="cs-CZ"/>
              </w:rPr>
              <w:t>25–30 %</w:t>
            </w:r>
          </w:p>
        </w:tc>
      </w:tr>
      <w:tr w:rsidR="00C14128" w:rsidRPr="005D14B7" w14:paraId="0D4D38F3" w14:textId="77777777" w:rsidTr="00D93332">
        <w:trPr>
          <w:trHeight w:val="877"/>
        </w:trPr>
        <w:tc>
          <w:tcPr>
            <w:tcW w:w="710" w:type="dxa"/>
            <w:vMerge/>
          </w:tcPr>
          <w:p w14:paraId="4936C0DF" w14:textId="77777777" w:rsidR="00C14128" w:rsidRPr="005D14B7" w:rsidRDefault="00C14128" w:rsidP="000F2BAC">
            <w:pPr>
              <w:pStyle w:val="TableParagraph"/>
              <w:spacing w:line="273" w:lineRule="exact"/>
              <w:ind w:left="88" w:right="233"/>
              <w:jc w:val="center"/>
              <w:rPr>
                <w:sz w:val="24"/>
                <w:lang w:val="cs-CZ"/>
              </w:rPr>
            </w:pPr>
          </w:p>
        </w:tc>
        <w:tc>
          <w:tcPr>
            <w:tcW w:w="2551" w:type="dxa"/>
            <w:vMerge/>
          </w:tcPr>
          <w:p w14:paraId="5491F4F7" w14:textId="77777777" w:rsidR="00C14128" w:rsidRPr="005D14B7" w:rsidRDefault="00C14128" w:rsidP="000F2BAC">
            <w:pPr>
              <w:pStyle w:val="TableParagraph"/>
              <w:spacing w:line="273" w:lineRule="exact"/>
              <w:rPr>
                <w:sz w:val="24"/>
                <w:lang w:val="cs-CZ"/>
              </w:rPr>
            </w:pPr>
          </w:p>
        </w:tc>
        <w:tc>
          <w:tcPr>
            <w:tcW w:w="3261" w:type="dxa"/>
            <w:vMerge/>
          </w:tcPr>
          <w:p w14:paraId="7E6F8C48" w14:textId="77777777" w:rsidR="00C14128" w:rsidRPr="005D14B7" w:rsidRDefault="00C14128" w:rsidP="000F2BAC">
            <w:pPr>
              <w:pStyle w:val="TableParagraph"/>
              <w:ind w:right="277"/>
              <w:rPr>
                <w:sz w:val="24"/>
                <w:lang w:val="cs-CZ"/>
              </w:rPr>
            </w:pPr>
          </w:p>
        </w:tc>
        <w:tc>
          <w:tcPr>
            <w:tcW w:w="3118" w:type="dxa"/>
          </w:tcPr>
          <w:p w14:paraId="18659D38" w14:textId="77777777" w:rsidR="00C14128" w:rsidRPr="005D14B7" w:rsidRDefault="00C14128" w:rsidP="000F2BAC">
            <w:pPr>
              <w:pStyle w:val="TableParagraph"/>
              <w:spacing w:line="273" w:lineRule="exact"/>
              <w:ind w:left="105"/>
              <w:rPr>
                <w:sz w:val="24"/>
                <w:szCs w:val="24"/>
                <w:lang w:val="cs-CZ"/>
              </w:rPr>
            </w:pPr>
            <w:r w:rsidRPr="725F14BC">
              <w:rPr>
                <w:sz w:val="24"/>
                <w:szCs w:val="24"/>
                <w:lang w:val="cs-CZ"/>
              </w:rPr>
              <w:t>0-10 % v méně závažných případech</w:t>
            </w:r>
          </w:p>
        </w:tc>
      </w:tr>
    </w:tbl>
    <w:p w14:paraId="30D7AA69" w14:textId="4F617969" w:rsidR="00D93332" w:rsidRDefault="00D93332" w:rsidP="00D93332">
      <w:pPr>
        <w:pStyle w:val="Zkladntext"/>
        <w:spacing w:before="5"/>
        <w:rPr>
          <w:b/>
          <w:sz w:val="3"/>
        </w:rPr>
      </w:pPr>
    </w:p>
    <w:sectPr w:rsidR="00D93332" w:rsidSect="0000617B">
      <w:headerReference w:type="default" r:id="rId17"/>
      <w:footerReference w:type="default" r:id="rId18"/>
      <w:pgSz w:w="11906" w:h="16838"/>
      <w:pgMar w:top="1560" w:right="1134" w:bottom="2268"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3A342" w14:textId="77777777" w:rsidR="00B32C0E" w:rsidRDefault="00B32C0E">
      <w:r>
        <w:separator/>
      </w:r>
    </w:p>
  </w:endnote>
  <w:endnote w:type="continuationSeparator" w:id="0">
    <w:p w14:paraId="2DC64918" w14:textId="77777777" w:rsidR="00B32C0E" w:rsidRDefault="00B32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3B9C" w14:textId="77777777" w:rsidR="00F823DE" w:rsidRDefault="00F823D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538319"/>
      <w:docPartObj>
        <w:docPartGallery w:val="Page Numbers (Bottom of Page)"/>
        <w:docPartUnique/>
      </w:docPartObj>
    </w:sdtPr>
    <w:sdtEndPr/>
    <w:sdtContent>
      <w:p w14:paraId="7A41FB2B" w14:textId="17B84F30" w:rsidR="00262A26" w:rsidRDefault="00262A26">
        <w:pPr>
          <w:pStyle w:val="Zpat"/>
          <w:jc w:val="center"/>
        </w:pPr>
        <w:r>
          <w:fldChar w:fldCharType="begin"/>
        </w:r>
        <w:r>
          <w:instrText>PAGE   \* MERGEFORMAT</w:instrText>
        </w:r>
        <w:r>
          <w:fldChar w:fldCharType="separate"/>
        </w:r>
        <w:r w:rsidR="003336C4">
          <w:rPr>
            <w:noProof/>
          </w:rPr>
          <w:t>2</w:t>
        </w:r>
        <w:r>
          <w:fldChar w:fldCharType="end"/>
        </w:r>
      </w:p>
    </w:sdtContent>
  </w:sdt>
  <w:p w14:paraId="0B8CF12C" w14:textId="5FE89FA9" w:rsidR="00262A26" w:rsidRDefault="00262A26">
    <w:pPr>
      <w:pStyle w:val="Zkladn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6203" w14:textId="77777777" w:rsidR="00F823DE" w:rsidRDefault="00F823D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D796" w14:textId="77777777" w:rsidR="00262A26" w:rsidRDefault="00262A26" w:rsidP="00DB7BD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7F3A2" w14:textId="77777777" w:rsidR="00B32C0E" w:rsidRDefault="00B32C0E">
      <w:r>
        <w:separator/>
      </w:r>
    </w:p>
  </w:footnote>
  <w:footnote w:type="continuationSeparator" w:id="0">
    <w:p w14:paraId="43667449" w14:textId="77777777" w:rsidR="00B32C0E" w:rsidRDefault="00B32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B9A7" w14:textId="77777777" w:rsidR="00F823DE" w:rsidRDefault="00F823D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0EB6" w14:textId="2C4D658F" w:rsidR="00262A26" w:rsidRDefault="00F823DE" w:rsidP="00F823DE">
    <w:pPr>
      <w:pStyle w:val="Zhlav"/>
    </w:pPr>
    <w:r>
      <w:rPr>
        <w:noProof/>
      </w:rPr>
      <w:drawing>
        <wp:anchor distT="0" distB="0" distL="114300" distR="114300" simplePos="0" relativeHeight="251688960" behindDoc="0" locked="0" layoutInCell="1" allowOverlap="1" wp14:anchorId="24F152C2" wp14:editId="56C57660">
          <wp:simplePos x="0" y="0"/>
          <wp:positionH relativeFrom="margin">
            <wp:posOffset>5296535</wp:posOffset>
          </wp:positionH>
          <wp:positionV relativeFrom="topMargin">
            <wp:posOffset>572135</wp:posOffset>
          </wp:positionV>
          <wp:extent cx="858520" cy="389255"/>
          <wp:effectExtent l="0" t="0" r="0" b="0"/>
          <wp:wrapSquare wrapText="bothSides"/>
          <wp:docPr id="2052508337" name="Obrázek 2052508337" descr="Obsah obrázku text, Písmo, snímek obrazovky, Grafika&#10;&#10;Popis byl vytvořen automatick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9249" t="-15027" r="-8763" b="-18785"/>
                  <a:stretch>
                    <a:fillRect/>
                  </a:stretch>
                </pic:blipFill>
                <pic:spPr>
                  <a:xfrm>
                    <a:off x="0" y="0"/>
                    <a:ext cx="858520" cy="38925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cstheme="minorHAnsi"/>
        <w:b/>
        <w:bCs/>
        <w:noProof/>
        <w:sz w:val="40"/>
        <w:szCs w:val="40"/>
      </w:rPr>
      <w:drawing>
        <wp:anchor distT="0" distB="0" distL="114300" distR="114300" simplePos="0" relativeHeight="251684864" behindDoc="0" locked="0" layoutInCell="1" allowOverlap="1" wp14:anchorId="3AB51F27" wp14:editId="03BDED03">
          <wp:simplePos x="0" y="0"/>
          <wp:positionH relativeFrom="margin">
            <wp:posOffset>-1270</wp:posOffset>
          </wp:positionH>
          <wp:positionV relativeFrom="topMargin">
            <wp:posOffset>450850</wp:posOffset>
          </wp:positionV>
          <wp:extent cx="1708150" cy="510540"/>
          <wp:effectExtent l="0" t="0" r="6350" b="3810"/>
          <wp:wrapSquare wrapText="bothSides"/>
          <wp:docPr id="3" name="Obrázek 3" descr="Obsah obrázku text, Písmo, Elektricky modrá,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 Písmo, Elektricky modrá, logo&#10;&#10;Popis byl vytvořen automaticky"/>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08150" cy="51054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325569">
      <w:drawing>
        <wp:inline distT="0" distB="0" distL="0" distR="0" wp14:anchorId="2DC03244" wp14:editId="4DC4B1B0">
          <wp:extent cx="1384300" cy="557394"/>
          <wp:effectExtent l="0" t="0" r="6350" b="0"/>
          <wp:docPr id="1444903461" name="Obrázek 1" descr="Obsah obrázku Písmo, symbol,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903461" name="Obrázek 1" descr="Obsah obrázku Písmo, symbol, Grafika, logo&#10;&#10;Popis byl vytvořen automaticky"/>
                  <pic:cNvPicPr/>
                </pic:nvPicPr>
                <pic:blipFill>
                  <a:blip r:embed="rId3"/>
                  <a:stretch>
                    <a:fillRect/>
                  </a:stretch>
                </pic:blipFill>
                <pic:spPr>
                  <a:xfrm>
                    <a:off x="0" y="0"/>
                    <a:ext cx="1424022" cy="573388"/>
                  </a:xfrm>
                  <a:prstGeom prst="rect">
                    <a:avLst/>
                  </a:prstGeom>
                </pic:spPr>
              </pic:pic>
            </a:graphicData>
          </a:graphic>
        </wp:inline>
      </w:drawing>
    </w:r>
  </w:p>
  <w:p w14:paraId="7DF4E37C" w14:textId="1ABB8787" w:rsidR="00262A26" w:rsidRPr="00940E75" w:rsidRDefault="00262A26" w:rsidP="00262A2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01A6" w14:textId="77777777" w:rsidR="00F823DE" w:rsidRDefault="00F823DE">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1CDC" w14:textId="7170F4A6" w:rsidR="00262A26" w:rsidRDefault="00F823DE" w:rsidP="002076E3">
    <w:pPr>
      <w:pStyle w:val="Zhlav"/>
    </w:pPr>
    <w:r>
      <w:rPr>
        <w:noProof/>
      </w:rPr>
      <w:drawing>
        <wp:anchor distT="0" distB="0" distL="114300" distR="114300" simplePos="0" relativeHeight="251682816" behindDoc="1" locked="0" layoutInCell="1" allowOverlap="1" wp14:anchorId="7101815D" wp14:editId="2661842B">
          <wp:simplePos x="0" y="0"/>
          <wp:positionH relativeFrom="margin">
            <wp:posOffset>5041265</wp:posOffset>
          </wp:positionH>
          <wp:positionV relativeFrom="paragraph">
            <wp:posOffset>120650</wp:posOffset>
          </wp:positionV>
          <wp:extent cx="831850" cy="372745"/>
          <wp:effectExtent l="0" t="0" r="6350" b="8255"/>
          <wp:wrapTight wrapText="bothSides">
            <wp:wrapPolygon edited="0">
              <wp:start x="8409" y="0"/>
              <wp:lineTo x="0" y="0"/>
              <wp:lineTo x="0" y="20974"/>
              <wp:lineTo x="17313" y="20974"/>
              <wp:lineTo x="21270" y="14351"/>
              <wp:lineTo x="21270" y="6624"/>
              <wp:lineTo x="16818" y="0"/>
              <wp:lineTo x="8409" y="0"/>
            </wp:wrapPolygon>
          </wp:wrapTight>
          <wp:docPr id="1" name="Obrázek 1" descr="Obsah obrázku text, Písmo, snímek obrazovky, Grafika&#10;&#10;Popis byl vytvořen automaticky">
            <a:extLst xmlns:a="http://schemas.openxmlformats.org/drawingml/2006/main">
              <a:ext uri="{FF2B5EF4-FFF2-40B4-BE49-F238E27FC236}">
                <a16:creationId xmlns:a16="http://schemas.microsoft.com/office/drawing/2014/main" id="{FE9AB15B-BA16-A72C-97DD-DBB65A5CB8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 descr="Obsah obrázku text, Písmo, snímek obrazovky, Grafika&#10;&#10;Popis byl vytvořen automaticky">
                    <a:extLst>
                      <a:ext uri="{FF2B5EF4-FFF2-40B4-BE49-F238E27FC236}">
                        <a16:creationId xmlns:a16="http://schemas.microsoft.com/office/drawing/2014/main" id="{FE9AB15B-BA16-A72C-97DD-DBB65A5CB8A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372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bCs/>
        <w:noProof/>
        <w:sz w:val="40"/>
        <w:szCs w:val="40"/>
      </w:rPr>
      <w:drawing>
        <wp:anchor distT="0" distB="0" distL="114300" distR="114300" simplePos="0" relativeHeight="251691008" behindDoc="0" locked="0" layoutInCell="1" allowOverlap="1" wp14:anchorId="5A84FF3B" wp14:editId="3C355A2A">
          <wp:simplePos x="0" y="0"/>
          <wp:positionH relativeFrom="margin">
            <wp:posOffset>56515</wp:posOffset>
          </wp:positionH>
          <wp:positionV relativeFrom="topMargin">
            <wp:posOffset>446405</wp:posOffset>
          </wp:positionV>
          <wp:extent cx="1746250" cy="521335"/>
          <wp:effectExtent l="0" t="0" r="6350" b="0"/>
          <wp:wrapSquare wrapText="bothSides"/>
          <wp:docPr id="774847860" name="Obrázek 774847860" descr="Obsah obrázku text, Písmo, Elektricky modrá,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 Písmo, Elektricky modrá, logo&#10;&#10;Popis byl vytvořen automaticky"/>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6250" cy="521335"/>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325569">
      <w:drawing>
        <wp:inline distT="0" distB="0" distL="0" distR="0" wp14:anchorId="2D68F352" wp14:editId="2E4B6143">
          <wp:extent cx="1435100" cy="577850"/>
          <wp:effectExtent l="0" t="0" r="0" b="0"/>
          <wp:docPr id="2133447063" name="Obrázek 1" descr="Obsah obrázku Písmo, symbol,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903461" name="Obrázek 1" descr="Obsah obrázku Písmo, symbol, Grafika, logo&#10;&#10;Popis byl vytvořen automaticky"/>
                  <pic:cNvPicPr/>
                </pic:nvPicPr>
                <pic:blipFill>
                  <a:blip r:embed="rId3"/>
                  <a:stretch>
                    <a:fillRect/>
                  </a:stretch>
                </pic:blipFill>
                <pic:spPr>
                  <a:xfrm>
                    <a:off x="0" y="0"/>
                    <a:ext cx="1476438" cy="594495"/>
                  </a:xfrm>
                  <a:prstGeom prst="rect">
                    <a:avLst/>
                  </a:prstGeom>
                </pic:spPr>
              </pic:pic>
            </a:graphicData>
          </a:graphic>
        </wp:inline>
      </w:drawing>
    </w:r>
    <w:r>
      <w:t xml:space="preserve">                                                </w:t>
    </w:r>
  </w:p>
  <w:p w14:paraId="17F66C90" w14:textId="77777777" w:rsidR="00F823DE" w:rsidRPr="00D93332" w:rsidRDefault="00F823DE" w:rsidP="002076E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0A87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3839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BC52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1E37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52D1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FEEC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5008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9406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F07C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6697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07474E"/>
    <w:multiLevelType w:val="hybridMultilevel"/>
    <w:tmpl w:val="FACE447A"/>
    <w:lvl w:ilvl="0" w:tplc="38AC7D28">
      <w:start w:val="1"/>
      <w:numFmt w:val="decimal"/>
      <w:lvlText w:val="%1."/>
      <w:lvlJc w:val="left"/>
      <w:pPr>
        <w:tabs>
          <w:tab w:val="num" w:pos="360"/>
        </w:tabs>
        <w:ind w:left="360" w:hanging="360"/>
      </w:pPr>
      <w:rPr>
        <w:rFonts w:hint="default"/>
        <w:b w:val="0"/>
        <w:i w:val="0"/>
        <w:color w:val="auto"/>
      </w:rPr>
    </w:lvl>
    <w:lvl w:ilvl="1" w:tplc="360A7C5A">
      <w:start w:val="1"/>
      <w:numFmt w:val="lowerLetter"/>
      <w:lvlText w:val="%2."/>
      <w:lvlJc w:val="left"/>
      <w:pPr>
        <w:tabs>
          <w:tab w:val="num" w:pos="1080"/>
        </w:tabs>
        <w:ind w:left="1080" w:hanging="360"/>
      </w:pPr>
      <w:rPr>
        <w:b w:val="0"/>
        <w:i w:val="0"/>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762237D6"/>
    <w:multiLevelType w:val="hybridMultilevel"/>
    <w:tmpl w:val="95763CAC"/>
    <w:lvl w:ilvl="0" w:tplc="1AEE9318">
      <w:start w:val="1"/>
      <w:numFmt w:val="decimal"/>
      <w:lvlText w:val="%1."/>
      <w:lvlJc w:val="left"/>
      <w:pPr>
        <w:ind w:left="456" w:hanging="239"/>
      </w:pPr>
      <w:rPr>
        <w:rFonts w:ascii="Calibri" w:eastAsia="Calibri" w:hAnsi="Calibri" w:cs="Calibri" w:hint="default"/>
        <w:b/>
        <w:bCs/>
        <w:spacing w:val="-1"/>
        <w:w w:val="100"/>
        <w:sz w:val="24"/>
        <w:szCs w:val="24"/>
        <w:lang w:val="cs-CZ" w:eastAsia="en-US" w:bidi="ar-SA"/>
      </w:rPr>
    </w:lvl>
    <w:lvl w:ilvl="1" w:tplc="9934DB7A">
      <w:numFmt w:val="none"/>
      <w:lvlText w:val=""/>
      <w:lvlJc w:val="left"/>
      <w:pPr>
        <w:tabs>
          <w:tab w:val="num" w:pos="360"/>
        </w:tabs>
      </w:pPr>
    </w:lvl>
    <w:lvl w:ilvl="2" w:tplc="836E9262">
      <w:numFmt w:val="bullet"/>
      <w:lvlText w:val="•"/>
      <w:lvlJc w:val="left"/>
      <w:pPr>
        <w:ind w:left="1607" w:hanging="362"/>
      </w:pPr>
      <w:rPr>
        <w:rFonts w:hint="default"/>
        <w:lang w:val="cs-CZ" w:eastAsia="en-US" w:bidi="ar-SA"/>
      </w:rPr>
    </w:lvl>
    <w:lvl w:ilvl="3" w:tplc="5D620930">
      <w:numFmt w:val="bullet"/>
      <w:lvlText w:val="•"/>
      <w:lvlJc w:val="left"/>
      <w:pPr>
        <w:ind w:left="2634" w:hanging="362"/>
      </w:pPr>
      <w:rPr>
        <w:rFonts w:hint="default"/>
        <w:lang w:val="cs-CZ" w:eastAsia="en-US" w:bidi="ar-SA"/>
      </w:rPr>
    </w:lvl>
    <w:lvl w:ilvl="4" w:tplc="CF5EFA1C">
      <w:numFmt w:val="bullet"/>
      <w:lvlText w:val="•"/>
      <w:lvlJc w:val="left"/>
      <w:pPr>
        <w:ind w:left="3662" w:hanging="362"/>
      </w:pPr>
      <w:rPr>
        <w:rFonts w:hint="default"/>
        <w:lang w:val="cs-CZ" w:eastAsia="en-US" w:bidi="ar-SA"/>
      </w:rPr>
    </w:lvl>
    <w:lvl w:ilvl="5" w:tplc="99283ADE">
      <w:numFmt w:val="bullet"/>
      <w:lvlText w:val="•"/>
      <w:lvlJc w:val="left"/>
      <w:pPr>
        <w:ind w:left="4689" w:hanging="362"/>
      </w:pPr>
      <w:rPr>
        <w:rFonts w:hint="default"/>
        <w:lang w:val="cs-CZ" w:eastAsia="en-US" w:bidi="ar-SA"/>
      </w:rPr>
    </w:lvl>
    <w:lvl w:ilvl="6" w:tplc="B16CE8EE">
      <w:numFmt w:val="bullet"/>
      <w:lvlText w:val="•"/>
      <w:lvlJc w:val="left"/>
      <w:pPr>
        <w:ind w:left="5716" w:hanging="362"/>
      </w:pPr>
      <w:rPr>
        <w:rFonts w:hint="default"/>
        <w:lang w:val="cs-CZ" w:eastAsia="en-US" w:bidi="ar-SA"/>
      </w:rPr>
    </w:lvl>
    <w:lvl w:ilvl="7" w:tplc="AA086054">
      <w:numFmt w:val="bullet"/>
      <w:lvlText w:val="•"/>
      <w:lvlJc w:val="left"/>
      <w:pPr>
        <w:ind w:left="6744" w:hanging="362"/>
      </w:pPr>
      <w:rPr>
        <w:rFonts w:hint="default"/>
        <w:lang w:val="cs-CZ" w:eastAsia="en-US" w:bidi="ar-SA"/>
      </w:rPr>
    </w:lvl>
    <w:lvl w:ilvl="8" w:tplc="008A2224">
      <w:numFmt w:val="bullet"/>
      <w:lvlText w:val="•"/>
      <w:lvlJc w:val="left"/>
      <w:pPr>
        <w:ind w:left="7771" w:hanging="362"/>
      </w:pPr>
      <w:rPr>
        <w:rFonts w:hint="default"/>
        <w:lang w:val="cs-CZ" w:eastAsia="en-US" w:bidi="ar-SA"/>
      </w:rPr>
    </w:lvl>
  </w:abstractNum>
  <w:abstractNum w:abstractNumId="12" w15:restartNumberingAfterBreak="0">
    <w:nsid w:val="788963DF"/>
    <w:multiLevelType w:val="hybridMultilevel"/>
    <w:tmpl w:val="4008ECD4"/>
    <w:lvl w:ilvl="0" w:tplc="1AE4F984">
      <w:start w:val="1"/>
      <w:numFmt w:val="decimal"/>
      <w:pStyle w:val="Nadpis2"/>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60794608">
    <w:abstractNumId w:val="8"/>
  </w:num>
  <w:num w:numId="2" w16cid:durableId="1485270876">
    <w:abstractNumId w:val="3"/>
  </w:num>
  <w:num w:numId="3" w16cid:durableId="1868978989">
    <w:abstractNumId w:val="2"/>
  </w:num>
  <w:num w:numId="4" w16cid:durableId="231962845">
    <w:abstractNumId w:val="1"/>
  </w:num>
  <w:num w:numId="5" w16cid:durableId="30083207">
    <w:abstractNumId w:val="0"/>
  </w:num>
  <w:num w:numId="6" w16cid:durableId="424688684">
    <w:abstractNumId w:val="9"/>
  </w:num>
  <w:num w:numId="7" w16cid:durableId="1624532262">
    <w:abstractNumId w:val="7"/>
  </w:num>
  <w:num w:numId="8" w16cid:durableId="889920068">
    <w:abstractNumId w:val="6"/>
  </w:num>
  <w:num w:numId="9" w16cid:durableId="1594782749">
    <w:abstractNumId w:val="5"/>
  </w:num>
  <w:num w:numId="10" w16cid:durableId="1871409051">
    <w:abstractNumId w:val="4"/>
  </w:num>
  <w:num w:numId="11" w16cid:durableId="1540701485">
    <w:abstractNumId w:val="11"/>
  </w:num>
  <w:num w:numId="12" w16cid:durableId="590938406">
    <w:abstractNumId w:val="12"/>
  </w:num>
  <w:num w:numId="13" w16cid:durableId="16403042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22A"/>
    <w:rsid w:val="000018DA"/>
    <w:rsid w:val="0000617B"/>
    <w:rsid w:val="00036359"/>
    <w:rsid w:val="000403B2"/>
    <w:rsid w:val="000413AA"/>
    <w:rsid w:val="000424A7"/>
    <w:rsid w:val="00042DD7"/>
    <w:rsid w:val="00043071"/>
    <w:rsid w:val="000430D0"/>
    <w:rsid w:val="00047C22"/>
    <w:rsid w:val="00066E6E"/>
    <w:rsid w:val="0007320C"/>
    <w:rsid w:val="000777C9"/>
    <w:rsid w:val="00092F83"/>
    <w:rsid w:val="00093AA3"/>
    <w:rsid w:val="000A4EE4"/>
    <w:rsid w:val="000A7C1C"/>
    <w:rsid w:val="000D3888"/>
    <w:rsid w:val="000D7F12"/>
    <w:rsid w:val="000E1850"/>
    <w:rsid w:val="000E38BA"/>
    <w:rsid w:val="000E663F"/>
    <w:rsid w:val="00103747"/>
    <w:rsid w:val="00106833"/>
    <w:rsid w:val="00113828"/>
    <w:rsid w:val="00117064"/>
    <w:rsid w:val="00121D5F"/>
    <w:rsid w:val="00133F79"/>
    <w:rsid w:val="00145B12"/>
    <w:rsid w:val="00157EE6"/>
    <w:rsid w:val="001630E5"/>
    <w:rsid w:val="00184024"/>
    <w:rsid w:val="001F0B37"/>
    <w:rsid w:val="001F715D"/>
    <w:rsid w:val="00203CF7"/>
    <w:rsid w:val="002076E3"/>
    <w:rsid w:val="00224A12"/>
    <w:rsid w:val="0024085F"/>
    <w:rsid w:val="00242BC6"/>
    <w:rsid w:val="00250D49"/>
    <w:rsid w:val="0025635F"/>
    <w:rsid w:val="00262A26"/>
    <w:rsid w:val="00264A8A"/>
    <w:rsid w:val="00284589"/>
    <w:rsid w:val="00285F41"/>
    <w:rsid w:val="00293422"/>
    <w:rsid w:val="002A235B"/>
    <w:rsid w:val="002B1FDD"/>
    <w:rsid w:val="002D7C59"/>
    <w:rsid w:val="002F27A3"/>
    <w:rsid w:val="00310643"/>
    <w:rsid w:val="00326B9E"/>
    <w:rsid w:val="00332A8D"/>
    <w:rsid w:val="003336C4"/>
    <w:rsid w:val="00335012"/>
    <w:rsid w:val="00352B2C"/>
    <w:rsid w:val="00365E9A"/>
    <w:rsid w:val="00367FD3"/>
    <w:rsid w:val="00377053"/>
    <w:rsid w:val="00392FD6"/>
    <w:rsid w:val="003C58B3"/>
    <w:rsid w:val="003C6E7E"/>
    <w:rsid w:val="003D7A30"/>
    <w:rsid w:val="003E2E9C"/>
    <w:rsid w:val="003E5FA1"/>
    <w:rsid w:val="003F5FD1"/>
    <w:rsid w:val="004141B9"/>
    <w:rsid w:val="004842A9"/>
    <w:rsid w:val="004929EA"/>
    <w:rsid w:val="004B29BC"/>
    <w:rsid w:val="004C1FA1"/>
    <w:rsid w:val="004C408C"/>
    <w:rsid w:val="004C587A"/>
    <w:rsid w:val="004E2C4A"/>
    <w:rsid w:val="004F110D"/>
    <w:rsid w:val="004F4529"/>
    <w:rsid w:val="00510E84"/>
    <w:rsid w:val="00514AE8"/>
    <w:rsid w:val="00522CA4"/>
    <w:rsid w:val="0053095C"/>
    <w:rsid w:val="00545DE3"/>
    <w:rsid w:val="00550A40"/>
    <w:rsid w:val="0056296D"/>
    <w:rsid w:val="005634D0"/>
    <w:rsid w:val="005714C4"/>
    <w:rsid w:val="00572B4E"/>
    <w:rsid w:val="005744F2"/>
    <w:rsid w:val="0058095E"/>
    <w:rsid w:val="005A624F"/>
    <w:rsid w:val="005B192D"/>
    <w:rsid w:val="005B5E9A"/>
    <w:rsid w:val="005C3329"/>
    <w:rsid w:val="005C6FEC"/>
    <w:rsid w:val="005D14B7"/>
    <w:rsid w:val="005D60C5"/>
    <w:rsid w:val="005D73C7"/>
    <w:rsid w:val="005F7442"/>
    <w:rsid w:val="0060065A"/>
    <w:rsid w:val="00602136"/>
    <w:rsid w:val="00621BAC"/>
    <w:rsid w:val="006300F3"/>
    <w:rsid w:val="006303E2"/>
    <w:rsid w:val="00633E85"/>
    <w:rsid w:val="00635CB6"/>
    <w:rsid w:val="006429A2"/>
    <w:rsid w:val="00662742"/>
    <w:rsid w:val="0066494E"/>
    <w:rsid w:val="006747CC"/>
    <w:rsid w:val="00685317"/>
    <w:rsid w:val="006A5064"/>
    <w:rsid w:val="006A51E2"/>
    <w:rsid w:val="006C1D6F"/>
    <w:rsid w:val="006C2149"/>
    <w:rsid w:val="006E2BC1"/>
    <w:rsid w:val="006E3982"/>
    <w:rsid w:val="006E77A8"/>
    <w:rsid w:val="006F4111"/>
    <w:rsid w:val="00722C75"/>
    <w:rsid w:val="007460D1"/>
    <w:rsid w:val="00766DF5"/>
    <w:rsid w:val="00782A2D"/>
    <w:rsid w:val="007849A8"/>
    <w:rsid w:val="007A3E9A"/>
    <w:rsid w:val="007B5167"/>
    <w:rsid w:val="007D5311"/>
    <w:rsid w:val="007E0BAA"/>
    <w:rsid w:val="00855868"/>
    <w:rsid w:val="00856A9D"/>
    <w:rsid w:val="008656F4"/>
    <w:rsid w:val="00873BD4"/>
    <w:rsid w:val="00885CDF"/>
    <w:rsid w:val="008A2968"/>
    <w:rsid w:val="008B6FAC"/>
    <w:rsid w:val="008C480B"/>
    <w:rsid w:val="008C6AC9"/>
    <w:rsid w:val="008D2A75"/>
    <w:rsid w:val="008F78B2"/>
    <w:rsid w:val="00920776"/>
    <w:rsid w:val="00925100"/>
    <w:rsid w:val="00934A4A"/>
    <w:rsid w:val="0094139E"/>
    <w:rsid w:val="0095679E"/>
    <w:rsid w:val="0097768C"/>
    <w:rsid w:val="00997E24"/>
    <w:rsid w:val="009A149B"/>
    <w:rsid w:val="009A2360"/>
    <w:rsid w:val="009A48D5"/>
    <w:rsid w:val="009B0EF5"/>
    <w:rsid w:val="009B1EB1"/>
    <w:rsid w:val="009C5F47"/>
    <w:rsid w:val="009F5C57"/>
    <w:rsid w:val="00A01263"/>
    <w:rsid w:val="00A15CAF"/>
    <w:rsid w:val="00A4662C"/>
    <w:rsid w:val="00A576EA"/>
    <w:rsid w:val="00A80D69"/>
    <w:rsid w:val="00A81E86"/>
    <w:rsid w:val="00A85886"/>
    <w:rsid w:val="00A95508"/>
    <w:rsid w:val="00A96086"/>
    <w:rsid w:val="00AC5425"/>
    <w:rsid w:val="00AD579A"/>
    <w:rsid w:val="00AD7C0C"/>
    <w:rsid w:val="00AE1C53"/>
    <w:rsid w:val="00B056FF"/>
    <w:rsid w:val="00B32C0E"/>
    <w:rsid w:val="00B34FDD"/>
    <w:rsid w:val="00B4011A"/>
    <w:rsid w:val="00B451EE"/>
    <w:rsid w:val="00B51CF9"/>
    <w:rsid w:val="00B54DB6"/>
    <w:rsid w:val="00B57B82"/>
    <w:rsid w:val="00B94153"/>
    <w:rsid w:val="00BB09B2"/>
    <w:rsid w:val="00BC5E84"/>
    <w:rsid w:val="00BE1ABB"/>
    <w:rsid w:val="00BE674F"/>
    <w:rsid w:val="00BE747A"/>
    <w:rsid w:val="00BF5030"/>
    <w:rsid w:val="00C14128"/>
    <w:rsid w:val="00C5083D"/>
    <w:rsid w:val="00C57DC2"/>
    <w:rsid w:val="00C609A7"/>
    <w:rsid w:val="00C71B64"/>
    <w:rsid w:val="00C71E64"/>
    <w:rsid w:val="00C82755"/>
    <w:rsid w:val="00C96EC1"/>
    <w:rsid w:val="00CA56C9"/>
    <w:rsid w:val="00CE59D3"/>
    <w:rsid w:val="00D10CA7"/>
    <w:rsid w:val="00D231D5"/>
    <w:rsid w:val="00D239A1"/>
    <w:rsid w:val="00D53428"/>
    <w:rsid w:val="00D736EF"/>
    <w:rsid w:val="00D74F64"/>
    <w:rsid w:val="00D75CDA"/>
    <w:rsid w:val="00D7708A"/>
    <w:rsid w:val="00D77E16"/>
    <w:rsid w:val="00D919DE"/>
    <w:rsid w:val="00D93332"/>
    <w:rsid w:val="00D942F3"/>
    <w:rsid w:val="00DB222A"/>
    <w:rsid w:val="00DB2AD1"/>
    <w:rsid w:val="00DB63B4"/>
    <w:rsid w:val="00DB7BD6"/>
    <w:rsid w:val="00DD0117"/>
    <w:rsid w:val="00DF4F8F"/>
    <w:rsid w:val="00E13E88"/>
    <w:rsid w:val="00E140A4"/>
    <w:rsid w:val="00E1621C"/>
    <w:rsid w:val="00E6394D"/>
    <w:rsid w:val="00E6407A"/>
    <w:rsid w:val="00E918D2"/>
    <w:rsid w:val="00E94F8E"/>
    <w:rsid w:val="00EB39DA"/>
    <w:rsid w:val="00EC7301"/>
    <w:rsid w:val="00ED55E9"/>
    <w:rsid w:val="00ED6AFF"/>
    <w:rsid w:val="00ED6B68"/>
    <w:rsid w:val="00EF6DB2"/>
    <w:rsid w:val="00F15281"/>
    <w:rsid w:val="00F15469"/>
    <w:rsid w:val="00F20C76"/>
    <w:rsid w:val="00F22D55"/>
    <w:rsid w:val="00F60781"/>
    <w:rsid w:val="00F7292D"/>
    <w:rsid w:val="00F823DE"/>
    <w:rsid w:val="00F83CF4"/>
    <w:rsid w:val="00F8452D"/>
    <w:rsid w:val="00F92465"/>
    <w:rsid w:val="00F92F3A"/>
    <w:rsid w:val="00FA4527"/>
    <w:rsid w:val="00FB14B1"/>
    <w:rsid w:val="00FD499C"/>
    <w:rsid w:val="00FE2526"/>
    <w:rsid w:val="00FE4356"/>
    <w:rsid w:val="00FF3BDF"/>
    <w:rsid w:val="16FF534F"/>
    <w:rsid w:val="1E7D9924"/>
    <w:rsid w:val="1F84472B"/>
    <w:rsid w:val="369778C5"/>
    <w:rsid w:val="38ABE602"/>
    <w:rsid w:val="3B8B5228"/>
    <w:rsid w:val="5104966F"/>
    <w:rsid w:val="66B9E8FB"/>
    <w:rsid w:val="6DE8EC7B"/>
    <w:rsid w:val="725F14BC"/>
    <w:rsid w:val="75018074"/>
    <w:rsid w:val="7613E553"/>
    <w:rsid w:val="792F15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791F9D"/>
  <w15:docId w15:val="{33111161-90FA-4575-B620-3D3158E1B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2360"/>
    <w:rPr>
      <w:sz w:val="24"/>
      <w:szCs w:val="24"/>
    </w:rPr>
  </w:style>
  <w:style w:type="paragraph" w:styleId="Nadpis2">
    <w:name w:val="heading 2"/>
    <w:basedOn w:val="Normln"/>
    <w:next w:val="Normln"/>
    <w:link w:val="Nadpis2Char"/>
    <w:uiPriority w:val="9"/>
    <w:unhideWhenUsed/>
    <w:qFormat/>
    <w:rsid w:val="0094139E"/>
    <w:pPr>
      <w:keepNext/>
      <w:keepLines/>
      <w:numPr>
        <w:numId w:val="12"/>
      </w:numPr>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Nadpis5">
    <w:name w:val="heading 5"/>
    <w:basedOn w:val="Normln"/>
    <w:next w:val="Normln"/>
    <w:link w:val="Nadpis5Char"/>
    <w:uiPriority w:val="9"/>
    <w:unhideWhenUsed/>
    <w:qFormat/>
    <w:rsid w:val="0094139E"/>
    <w:pPr>
      <w:keepNext/>
      <w:keepLines/>
      <w:spacing w:before="40" w:line="276" w:lineRule="auto"/>
      <w:outlineLvl w:val="4"/>
    </w:pPr>
    <w:rPr>
      <w:rFonts w:asciiTheme="majorHAnsi" w:eastAsiaTheme="majorEastAsia" w:hAnsiTheme="majorHAnsi" w:cstheme="majorBidi"/>
      <w:color w:val="365F91" w:themeColor="accent1" w:themeShade="BF"/>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DB7BD6"/>
    <w:pPr>
      <w:tabs>
        <w:tab w:val="center" w:pos="4536"/>
        <w:tab w:val="right" w:pos="9072"/>
      </w:tabs>
    </w:pPr>
  </w:style>
  <w:style w:type="paragraph" w:styleId="Zpat">
    <w:name w:val="footer"/>
    <w:basedOn w:val="Normln"/>
    <w:link w:val="ZpatChar"/>
    <w:uiPriority w:val="99"/>
    <w:rsid w:val="00DB7BD6"/>
    <w:pPr>
      <w:tabs>
        <w:tab w:val="center" w:pos="4536"/>
        <w:tab w:val="right" w:pos="9072"/>
      </w:tabs>
    </w:pPr>
  </w:style>
  <w:style w:type="paragraph" w:customStyle="1" w:styleId="CharChar1">
    <w:name w:val="Char Char1"/>
    <w:basedOn w:val="Normln"/>
    <w:rsid w:val="00DB7BD6"/>
    <w:pPr>
      <w:widowControl w:val="0"/>
      <w:overflowPunct w:val="0"/>
      <w:autoSpaceDE w:val="0"/>
      <w:autoSpaceDN w:val="0"/>
      <w:adjustRightInd w:val="0"/>
      <w:spacing w:after="160" w:line="240" w:lineRule="exact"/>
      <w:textAlignment w:val="baseline"/>
    </w:pPr>
    <w:rPr>
      <w:rFonts w:ascii="Tahoma" w:hAnsi="Tahoma"/>
      <w:sz w:val="20"/>
      <w:szCs w:val="20"/>
      <w:lang w:val="en-US" w:eastAsia="en-US"/>
    </w:rPr>
  </w:style>
  <w:style w:type="paragraph" w:customStyle="1" w:styleId="Text">
    <w:name w:val="Text"/>
    <w:basedOn w:val="Normln"/>
    <w:rsid w:val="009A2360"/>
    <w:rPr>
      <w:rFonts w:ascii="Arial" w:hAnsi="Arial" w:cs="Arial"/>
    </w:rPr>
  </w:style>
  <w:style w:type="paragraph" w:styleId="Textbubliny">
    <w:name w:val="Balloon Text"/>
    <w:basedOn w:val="Normln"/>
    <w:link w:val="TextbublinyChar"/>
    <w:uiPriority w:val="99"/>
    <w:semiHidden/>
    <w:unhideWhenUsed/>
    <w:rsid w:val="00F8452D"/>
    <w:rPr>
      <w:rFonts w:ascii="Tahoma" w:hAnsi="Tahoma" w:cs="Tahoma"/>
      <w:sz w:val="16"/>
      <w:szCs w:val="16"/>
    </w:rPr>
  </w:style>
  <w:style w:type="character" w:customStyle="1" w:styleId="TextbublinyChar">
    <w:name w:val="Text bubliny Char"/>
    <w:basedOn w:val="Standardnpsmoodstavce"/>
    <w:link w:val="Textbubliny"/>
    <w:uiPriority w:val="99"/>
    <w:semiHidden/>
    <w:rsid w:val="00F8452D"/>
    <w:rPr>
      <w:rFonts w:ascii="Tahoma" w:hAnsi="Tahoma" w:cs="Tahoma"/>
      <w:sz w:val="16"/>
      <w:szCs w:val="16"/>
    </w:rPr>
  </w:style>
  <w:style w:type="character" w:styleId="Hypertextovodkaz">
    <w:name w:val="Hyperlink"/>
    <w:basedOn w:val="Standardnpsmoodstavce"/>
    <w:uiPriority w:val="99"/>
    <w:unhideWhenUsed/>
    <w:rsid w:val="00106833"/>
    <w:rPr>
      <w:color w:val="0000FF" w:themeColor="hyperlink"/>
      <w:u w:val="single"/>
    </w:rPr>
  </w:style>
  <w:style w:type="character" w:customStyle="1" w:styleId="Nevyeenzmnka1">
    <w:name w:val="Nevyřešená zmínka1"/>
    <w:basedOn w:val="Standardnpsmoodstavce"/>
    <w:uiPriority w:val="99"/>
    <w:semiHidden/>
    <w:unhideWhenUsed/>
    <w:rsid w:val="00310643"/>
    <w:rPr>
      <w:color w:val="605E5C"/>
      <w:shd w:val="clear" w:color="auto" w:fill="E1DFDD"/>
    </w:rPr>
  </w:style>
  <w:style w:type="character" w:customStyle="1" w:styleId="Nadpis2Char">
    <w:name w:val="Nadpis 2 Char"/>
    <w:basedOn w:val="Standardnpsmoodstavce"/>
    <w:link w:val="Nadpis2"/>
    <w:uiPriority w:val="9"/>
    <w:rsid w:val="0094139E"/>
    <w:rPr>
      <w:rFonts w:asciiTheme="majorHAnsi" w:eastAsiaTheme="majorEastAsia" w:hAnsiTheme="majorHAnsi" w:cstheme="majorBidi"/>
      <w:color w:val="365F91" w:themeColor="accent1" w:themeShade="BF"/>
      <w:sz w:val="26"/>
      <w:szCs w:val="26"/>
      <w:lang w:eastAsia="en-US"/>
    </w:rPr>
  </w:style>
  <w:style w:type="character" w:customStyle="1" w:styleId="Nadpis5Char">
    <w:name w:val="Nadpis 5 Char"/>
    <w:basedOn w:val="Standardnpsmoodstavce"/>
    <w:link w:val="Nadpis5"/>
    <w:uiPriority w:val="9"/>
    <w:rsid w:val="0094139E"/>
    <w:rPr>
      <w:rFonts w:asciiTheme="majorHAnsi" w:eastAsiaTheme="majorEastAsia" w:hAnsiTheme="majorHAnsi" w:cstheme="majorBidi"/>
      <w:color w:val="365F91" w:themeColor="accent1" w:themeShade="BF"/>
      <w:sz w:val="24"/>
      <w:szCs w:val="22"/>
      <w:lang w:eastAsia="en-US"/>
    </w:rPr>
  </w:style>
  <w:style w:type="table" w:customStyle="1" w:styleId="NormalTable0">
    <w:name w:val="Normal Table0"/>
    <w:uiPriority w:val="2"/>
    <w:semiHidden/>
    <w:unhideWhenUsed/>
    <w:qFormat/>
    <w:rsid w:val="0094139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94139E"/>
    <w:pPr>
      <w:widowControl w:val="0"/>
      <w:autoSpaceDE w:val="0"/>
      <w:autoSpaceDN w:val="0"/>
    </w:pPr>
    <w:rPr>
      <w:rFonts w:ascii="Calibri" w:eastAsia="Calibri" w:hAnsi="Calibri" w:cs="Calibri"/>
      <w:lang w:eastAsia="en-US"/>
    </w:rPr>
  </w:style>
  <w:style w:type="character" w:customStyle="1" w:styleId="ZkladntextChar">
    <w:name w:val="Základní text Char"/>
    <w:basedOn w:val="Standardnpsmoodstavce"/>
    <w:link w:val="Zkladntext"/>
    <w:uiPriority w:val="1"/>
    <w:rsid w:val="0094139E"/>
    <w:rPr>
      <w:rFonts w:ascii="Calibri" w:eastAsia="Calibri" w:hAnsi="Calibri" w:cs="Calibri"/>
      <w:sz w:val="24"/>
      <w:szCs w:val="24"/>
      <w:lang w:eastAsia="en-US"/>
    </w:rPr>
  </w:style>
  <w:style w:type="paragraph" w:customStyle="1" w:styleId="Nadpis11">
    <w:name w:val="Nadpis 11"/>
    <w:basedOn w:val="Normln"/>
    <w:uiPriority w:val="1"/>
    <w:qFormat/>
    <w:rsid w:val="0094139E"/>
    <w:pPr>
      <w:widowControl w:val="0"/>
      <w:autoSpaceDE w:val="0"/>
      <w:autoSpaceDN w:val="0"/>
      <w:spacing w:before="51"/>
      <w:ind w:left="578" w:hanging="362"/>
      <w:outlineLvl w:val="1"/>
    </w:pPr>
    <w:rPr>
      <w:rFonts w:ascii="Calibri" w:eastAsia="Calibri" w:hAnsi="Calibri" w:cs="Calibri"/>
      <w:b/>
      <w:bCs/>
      <w:lang w:eastAsia="en-US"/>
    </w:rPr>
  </w:style>
  <w:style w:type="paragraph" w:styleId="Odstavecseseznamem">
    <w:name w:val="List Paragraph"/>
    <w:basedOn w:val="Normln"/>
    <w:uiPriority w:val="1"/>
    <w:qFormat/>
    <w:rsid w:val="0094139E"/>
    <w:pPr>
      <w:widowControl w:val="0"/>
      <w:autoSpaceDE w:val="0"/>
      <w:autoSpaceDN w:val="0"/>
      <w:spacing w:before="51"/>
      <w:ind w:left="578" w:hanging="362"/>
    </w:pPr>
    <w:rPr>
      <w:rFonts w:ascii="Calibri" w:eastAsia="Calibri" w:hAnsi="Calibri" w:cs="Calibri"/>
      <w:sz w:val="22"/>
      <w:szCs w:val="22"/>
      <w:lang w:eastAsia="en-US"/>
    </w:rPr>
  </w:style>
  <w:style w:type="paragraph" w:customStyle="1" w:styleId="TableParagraph">
    <w:name w:val="Table Paragraph"/>
    <w:basedOn w:val="Normln"/>
    <w:uiPriority w:val="1"/>
    <w:qFormat/>
    <w:rsid w:val="0094139E"/>
    <w:pPr>
      <w:widowControl w:val="0"/>
      <w:autoSpaceDE w:val="0"/>
      <w:autoSpaceDN w:val="0"/>
      <w:ind w:left="106"/>
    </w:pPr>
    <w:rPr>
      <w:rFonts w:ascii="Calibri" w:eastAsia="Calibri" w:hAnsi="Calibri" w:cs="Calibri"/>
      <w:sz w:val="22"/>
      <w:szCs w:val="22"/>
      <w:lang w:eastAsia="en-US"/>
    </w:rPr>
  </w:style>
  <w:style w:type="character" w:customStyle="1" w:styleId="ZhlavChar">
    <w:name w:val="Záhlaví Char"/>
    <w:basedOn w:val="Standardnpsmoodstavce"/>
    <w:link w:val="Zhlav"/>
    <w:rsid w:val="0094139E"/>
    <w:rPr>
      <w:sz w:val="24"/>
      <w:szCs w:val="24"/>
    </w:rPr>
  </w:style>
  <w:style w:type="character" w:styleId="Odkaznakoment">
    <w:name w:val="annotation reference"/>
    <w:basedOn w:val="Standardnpsmoodstavce"/>
    <w:uiPriority w:val="99"/>
    <w:semiHidden/>
    <w:unhideWhenUsed/>
    <w:rsid w:val="004C1FA1"/>
    <w:rPr>
      <w:sz w:val="16"/>
      <w:szCs w:val="16"/>
    </w:rPr>
  </w:style>
  <w:style w:type="paragraph" w:styleId="Textkomente">
    <w:name w:val="annotation text"/>
    <w:basedOn w:val="Normln"/>
    <w:link w:val="TextkomenteChar"/>
    <w:uiPriority w:val="99"/>
    <w:semiHidden/>
    <w:unhideWhenUsed/>
    <w:rsid w:val="004C1FA1"/>
    <w:pPr>
      <w:spacing w:after="109"/>
      <w:ind w:left="10" w:right="1" w:hanging="10"/>
      <w:jc w:val="both"/>
    </w:pPr>
    <w:rPr>
      <w:rFonts w:ascii="Calibri" w:eastAsia="Calibri" w:hAnsi="Calibri" w:cs="Calibri"/>
      <w:color w:val="000000"/>
      <w:sz w:val="20"/>
      <w:szCs w:val="20"/>
      <w:lang w:eastAsia="en-US"/>
    </w:rPr>
  </w:style>
  <w:style w:type="character" w:customStyle="1" w:styleId="TextkomenteChar">
    <w:name w:val="Text komentáře Char"/>
    <w:basedOn w:val="Standardnpsmoodstavce"/>
    <w:link w:val="Textkomente"/>
    <w:uiPriority w:val="99"/>
    <w:semiHidden/>
    <w:rsid w:val="004C1FA1"/>
    <w:rPr>
      <w:rFonts w:ascii="Calibri" w:eastAsia="Calibri" w:hAnsi="Calibri" w:cs="Calibri"/>
      <w:color w:val="000000"/>
      <w:lang w:eastAsia="en-US"/>
    </w:rPr>
  </w:style>
  <w:style w:type="paragraph" w:styleId="Pedmtkomente">
    <w:name w:val="annotation subject"/>
    <w:basedOn w:val="Textkomente"/>
    <w:next w:val="Textkomente"/>
    <w:link w:val="PedmtkomenteChar"/>
    <w:uiPriority w:val="99"/>
    <w:semiHidden/>
    <w:unhideWhenUsed/>
    <w:rsid w:val="001630E5"/>
    <w:pPr>
      <w:spacing w:after="0"/>
      <w:ind w:left="0" w:right="0" w:firstLine="0"/>
      <w:jc w:val="left"/>
    </w:pPr>
    <w:rPr>
      <w:rFonts w:ascii="Times New Roman" w:eastAsia="Times New Roman" w:hAnsi="Times New Roman" w:cs="Times New Roman"/>
      <w:b/>
      <w:bCs/>
      <w:color w:val="auto"/>
      <w:lang w:eastAsia="cs-CZ"/>
    </w:rPr>
  </w:style>
  <w:style w:type="character" w:customStyle="1" w:styleId="PedmtkomenteChar">
    <w:name w:val="Předmět komentáře Char"/>
    <w:basedOn w:val="TextkomenteChar"/>
    <w:link w:val="Pedmtkomente"/>
    <w:uiPriority w:val="99"/>
    <w:semiHidden/>
    <w:rsid w:val="001630E5"/>
    <w:rPr>
      <w:rFonts w:ascii="Calibri" w:eastAsia="Calibri" w:hAnsi="Calibri" w:cs="Calibri"/>
      <w:b/>
      <w:bCs/>
      <w:color w:val="000000"/>
      <w:lang w:eastAsia="en-US"/>
    </w:rPr>
  </w:style>
  <w:style w:type="character" w:customStyle="1" w:styleId="ZpatChar">
    <w:name w:val="Zápatí Char"/>
    <w:basedOn w:val="Standardnpsmoodstavce"/>
    <w:link w:val="Zpat"/>
    <w:uiPriority w:val="99"/>
    <w:rsid w:val="008D2A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61041">
      <w:bodyDiv w:val="1"/>
      <w:marLeft w:val="0"/>
      <w:marRight w:val="0"/>
      <w:marTop w:val="0"/>
      <w:marBottom w:val="0"/>
      <w:divBdr>
        <w:top w:val="none" w:sz="0" w:space="0" w:color="auto"/>
        <w:left w:val="none" w:sz="0" w:space="0" w:color="auto"/>
        <w:bottom w:val="none" w:sz="0" w:space="0" w:color="auto"/>
        <w:right w:val="none" w:sz="0" w:space="0" w:color="auto"/>
      </w:divBdr>
    </w:div>
    <w:div w:id="154659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fkovap\AppData\Local\Temp\18C5FAE7.doc"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595193400E67641B0FABAA507EE4844" ma:contentTypeVersion="12" ma:contentTypeDescription="Vytvoří nový dokument" ma:contentTypeScope="" ma:versionID="e24bfd74883adab1127a32015acc012e">
  <xsd:schema xmlns:xsd="http://www.w3.org/2001/XMLSchema" xmlns:xs="http://www.w3.org/2001/XMLSchema" xmlns:p="http://schemas.microsoft.com/office/2006/metadata/properties" xmlns:ns2="3ff5ae98-e02e-4893-abb9-d380d5b7b6a5" xmlns:ns3="916b2cbe-7531-43b4-96c1-e8f7da909d25" targetNamespace="http://schemas.microsoft.com/office/2006/metadata/properties" ma:root="true" ma:fieldsID="04712c0e0d78629e62f85ed63f56e9c0" ns2:_="" ns3:_="">
    <xsd:import namespace="3ff5ae98-e02e-4893-abb9-d380d5b7b6a5"/>
    <xsd:import namespace="916b2cbe-7531-43b4-96c1-e8f7da909d2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5ae98-e02e-4893-abb9-d380d5b7b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d2a44d23-90f1-4afd-aa8c-0d6faad4ae9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b2cbe-7531-43b4-96c1-e8f7da909d2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8d8e1da-29bb-4dde-8a45-32a8e5b8a3bc}" ma:internalName="TaxCatchAll" ma:showField="CatchAllData" ma:web="916b2cbe-7531-43b4-96c1-e8f7da909d2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16b2cbe-7531-43b4-96c1-e8f7da909d25" xsi:nil="true"/>
    <lcf76f155ced4ddcb4097134ff3c332f xmlns="3ff5ae98-e02e-4893-abb9-d380d5b7b6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30CE6B-A92F-4B26-8403-F084394C68AC}">
  <ds:schemaRefs>
    <ds:schemaRef ds:uri="http://schemas.microsoft.com/sharepoint/v3/contenttype/forms"/>
  </ds:schemaRefs>
</ds:datastoreItem>
</file>

<file path=customXml/itemProps2.xml><?xml version="1.0" encoding="utf-8"?>
<ds:datastoreItem xmlns:ds="http://schemas.openxmlformats.org/officeDocument/2006/customXml" ds:itemID="{19E18F99-F1C5-404C-9A29-7A1D4FDEE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5ae98-e02e-4893-abb9-d380d5b7b6a5"/>
    <ds:schemaRef ds:uri="916b2cbe-7531-43b4-96c1-e8f7da909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4A7041-E572-4CBD-B58A-0F7FBED4065E}">
  <ds:schemaRefs>
    <ds:schemaRef ds:uri="http://schemas.openxmlformats.org/officeDocument/2006/bibliography"/>
  </ds:schemaRefs>
</ds:datastoreItem>
</file>

<file path=customXml/itemProps4.xml><?xml version="1.0" encoding="utf-8"?>
<ds:datastoreItem xmlns:ds="http://schemas.openxmlformats.org/officeDocument/2006/customXml" ds:itemID="{D580D02A-6188-467B-B05D-27D4CA02DA18}">
  <ds:schemaRefs>
    <ds:schemaRef ds:uri="http://schemas.microsoft.com/office/2006/documentManagement/types"/>
    <ds:schemaRef ds:uri="916b2cbe-7531-43b4-96c1-e8f7da909d25"/>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3ff5ae98-e02e-4893-abb9-d380d5b7b6a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18C5FAE7</Template>
  <TotalTime>4</TotalTime>
  <Pages>10</Pages>
  <Words>2211</Words>
  <Characters>13271</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lpstr>
    </vt:vector>
  </TitlesOfParts>
  <Company>MV ČR</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Šafková Petra</dc:creator>
  <cp:lastModifiedBy>Černá Barbora</cp:lastModifiedBy>
  <cp:revision>3</cp:revision>
  <cp:lastPrinted>2022-06-13T10:26:00Z</cp:lastPrinted>
  <dcterms:created xsi:type="dcterms:W3CDTF">2024-04-02T23:17:00Z</dcterms:created>
  <dcterms:modified xsi:type="dcterms:W3CDTF">2024-04-02T23:21:00Z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0x0101007595193400E67641B0FABAA507EE4844</vt:lpwstr>
  </property>
  <property fmtid="{D5CDD505-2E9C-101B-9397-08002B2CF9AE}" pid="3" name="MSIP_Label_defa4170-0d19-0005-0004-bc88714345d2_Enabled">
    <vt:lpwstr>true</vt:lpwstr>
  </property>
  <property fmtid="{D5CDD505-2E9C-101B-9397-08002B2CF9AE}" pid="4" name="MSIP_Label_defa4170-0d19-0005-0004-bc88714345d2_SetDate">
    <vt:lpwstr>2023-11-20T15:01:18Z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5b6b85cd-44ef-4d66-86d4-603dd2160780</vt:lpwstr>
  </property>
  <property fmtid="{D5CDD505-2E9C-101B-9397-08002B2CF9AE}" pid="8" name="MSIP_Label_defa4170-0d19-0005-0004-bc88714345d2_ActionId">
    <vt:lpwstr>c7d1313c-aba8-4191-8ff2-c561a1a96b04</vt:lpwstr>
  </property>
  <property fmtid="{D5CDD505-2E9C-101B-9397-08002B2CF9AE}" pid="9" name="MSIP_Label_defa4170-0d19-0005-0004-bc88714345d2_ContentBits">
    <vt:lpwstr>0</vt:lpwstr>
  </property>
  <property fmtid="{D5CDD505-2E9C-101B-9397-08002B2CF9AE}" pid="10" name="MediaServiceImageTags">
    <vt:lpwstr/>
  </property>
</Properties>
</file>